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2E" w:rsidRDefault="006C605F">
      <w:pPr>
        <w:spacing w:after="0" w:line="268" w:lineRule="auto"/>
        <w:jc w:val="center"/>
      </w:pPr>
      <w:r>
        <w:t>全民健康保險中醫門診總額品質保證保留款實施方案</w:t>
      </w:r>
      <w:r>
        <w:rPr>
          <w:rFonts w:ascii="Calibri" w:eastAsia="Calibri" w:hAnsi="Calibri" w:cs="Calibri"/>
          <w:vertAlign w:val="subscript"/>
        </w:rPr>
        <w:t xml:space="preserve"> </w:t>
      </w:r>
    </w:p>
    <w:p w:rsidR="0006461C" w:rsidRDefault="006C605F" w:rsidP="0006461C">
      <w:pPr>
        <w:spacing w:after="3" w:line="275" w:lineRule="auto"/>
        <w:ind w:left="0" w:right="0" w:firstLine="3544"/>
        <w:jc w:val="both"/>
        <w:rPr>
          <w:sz w:val="20"/>
        </w:rPr>
      </w:pPr>
      <w:r>
        <w:rPr>
          <w:sz w:val="20"/>
        </w:rPr>
        <w:t>中華民國</w:t>
      </w:r>
      <w:r>
        <w:rPr>
          <w:sz w:val="20"/>
        </w:rPr>
        <w:t>107</w:t>
      </w:r>
      <w:r>
        <w:rPr>
          <w:sz w:val="20"/>
        </w:rPr>
        <w:t>年</w:t>
      </w:r>
      <w:r>
        <w:rPr>
          <w:sz w:val="20"/>
        </w:rPr>
        <w:t>1</w:t>
      </w:r>
      <w:r>
        <w:rPr>
          <w:sz w:val="20"/>
        </w:rPr>
        <w:t>月</w:t>
      </w:r>
      <w:r>
        <w:rPr>
          <w:sz w:val="20"/>
        </w:rPr>
        <w:t>8</w:t>
      </w:r>
      <w:r>
        <w:rPr>
          <w:sz w:val="20"/>
        </w:rPr>
        <w:t>日健保醫字第</w:t>
      </w:r>
      <w:r>
        <w:rPr>
          <w:sz w:val="20"/>
        </w:rPr>
        <w:t>1060016997</w:t>
      </w:r>
      <w:r>
        <w:rPr>
          <w:sz w:val="20"/>
        </w:rPr>
        <w:t>號公告修訂</w:t>
      </w:r>
    </w:p>
    <w:p w:rsidR="0006461C" w:rsidRDefault="006C605F" w:rsidP="0006461C">
      <w:pPr>
        <w:spacing w:after="3" w:line="275" w:lineRule="auto"/>
        <w:ind w:left="0" w:right="0" w:firstLine="3544"/>
        <w:jc w:val="both"/>
        <w:rPr>
          <w:sz w:val="20"/>
        </w:rPr>
      </w:pPr>
      <w:r>
        <w:rPr>
          <w:sz w:val="20"/>
        </w:rPr>
        <w:t>中華民國</w:t>
      </w:r>
      <w:r>
        <w:rPr>
          <w:sz w:val="20"/>
        </w:rPr>
        <w:t>108</w:t>
      </w:r>
      <w:r>
        <w:rPr>
          <w:sz w:val="20"/>
        </w:rPr>
        <w:t>年</w:t>
      </w:r>
      <w:r>
        <w:rPr>
          <w:sz w:val="20"/>
        </w:rPr>
        <w:t>5</w:t>
      </w:r>
      <w:r>
        <w:rPr>
          <w:sz w:val="20"/>
        </w:rPr>
        <w:t>月</w:t>
      </w:r>
      <w:r>
        <w:rPr>
          <w:sz w:val="20"/>
        </w:rPr>
        <w:t>31</w:t>
      </w:r>
      <w:r>
        <w:rPr>
          <w:sz w:val="20"/>
        </w:rPr>
        <w:t>日健保醫字第</w:t>
      </w:r>
      <w:r>
        <w:rPr>
          <w:sz w:val="20"/>
        </w:rPr>
        <w:t>1080007611</w:t>
      </w:r>
      <w:r>
        <w:rPr>
          <w:sz w:val="20"/>
        </w:rPr>
        <w:t>號公告修訂</w:t>
      </w:r>
    </w:p>
    <w:p w:rsidR="0006461C" w:rsidRDefault="006C605F" w:rsidP="0006461C">
      <w:pPr>
        <w:spacing w:after="3" w:line="275" w:lineRule="auto"/>
        <w:ind w:left="0" w:right="0" w:firstLine="3544"/>
        <w:jc w:val="both"/>
        <w:rPr>
          <w:sz w:val="20"/>
        </w:rPr>
      </w:pPr>
      <w:r>
        <w:rPr>
          <w:sz w:val="20"/>
        </w:rPr>
        <w:t>中華民國</w:t>
      </w:r>
      <w:r>
        <w:rPr>
          <w:sz w:val="20"/>
        </w:rPr>
        <w:t>109</w:t>
      </w:r>
      <w:r>
        <w:rPr>
          <w:sz w:val="20"/>
        </w:rPr>
        <w:t>年</w:t>
      </w:r>
      <w:r>
        <w:rPr>
          <w:sz w:val="20"/>
        </w:rPr>
        <w:t>2</w:t>
      </w:r>
      <w:r>
        <w:rPr>
          <w:sz w:val="20"/>
        </w:rPr>
        <w:t>月</w:t>
      </w:r>
      <w:r>
        <w:rPr>
          <w:sz w:val="20"/>
        </w:rPr>
        <w:t>7</w:t>
      </w:r>
      <w:r>
        <w:rPr>
          <w:sz w:val="20"/>
        </w:rPr>
        <w:t>日健保醫字第</w:t>
      </w:r>
      <w:r>
        <w:rPr>
          <w:sz w:val="20"/>
        </w:rPr>
        <w:t>1090001213</w:t>
      </w:r>
      <w:r>
        <w:rPr>
          <w:sz w:val="20"/>
        </w:rPr>
        <w:t>號公告修訂</w:t>
      </w:r>
    </w:p>
    <w:p w:rsidR="0006461C" w:rsidRDefault="006C605F" w:rsidP="0006461C">
      <w:pPr>
        <w:spacing w:after="3" w:line="275" w:lineRule="auto"/>
        <w:ind w:left="0" w:right="0" w:firstLine="3544"/>
        <w:jc w:val="both"/>
        <w:rPr>
          <w:sz w:val="20"/>
        </w:rPr>
      </w:pPr>
      <w:r>
        <w:rPr>
          <w:sz w:val="20"/>
        </w:rPr>
        <w:t>中華民國</w:t>
      </w:r>
      <w:r>
        <w:rPr>
          <w:sz w:val="20"/>
        </w:rPr>
        <w:t>110</w:t>
      </w:r>
      <w:r>
        <w:rPr>
          <w:sz w:val="20"/>
        </w:rPr>
        <w:t>年</w:t>
      </w:r>
      <w:r>
        <w:rPr>
          <w:sz w:val="20"/>
        </w:rPr>
        <w:t>1</w:t>
      </w:r>
      <w:r>
        <w:rPr>
          <w:sz w:val="20"/>
        </w:rPr>
        <w:t>月</w:t>
      </w:r>
      <w:r>
        <w:rPr>
          <w:sz w:val="20"/>
        </w:rPr>
        <w:t>19</w:t>
      </w:r>
      <w:r>
        <w:rPr>
          <w:sz w:val="20"/>
        </w:rPr>
        <w:t>日健保醫字第</w:t>
      </w:r>
      <w:r>
        <w:rPr>
          <w:sz w:val="20"/>
        </w:rPr>
        <w:t>1100000291</w:t>
      </w:r>
      <w:r>
        <w:rPr>
          <w:sz w:val="20"/>
        </w:rPr>
        <w:t>號公告修訂</w:t>
      </w:r>
    </w:p>
    <w:p w:rsidR="0006461C" w:rsidRDefault="006C605F" w:rsidP="0006461C">
      <w:pPr>
        <w:spacing w:after="3" w:line="275" w:lineRule="auto"/>
        <w:ind w:left="0" w:right="0" w:firstLine="3544"/>
        <w:jc w:val="both"/>
        <w:rPr>
          <w:sz w:val="20"/>
        </w:rPr>
      </w:pPr>
      <w:r>
        <w:rPr>
          <w:sz w:val="20"/>
        </w:rPr>
        <w:t>中華民國</w:t>
      </w:r>
      <w:r>
        <w:rPr>
          <w:sz w:val="20"/>
        </w:rPr>
        <w:t>111</w:t>
      </w:r>
      <w:r>
        <w:rPr>
          <w:sz w:val="20"/>
        </w:rPr>
        <w:t>年</w:t>
      </w:r>
      <w:r>
        <w:rPr>
          <w:sz w:val="20"/>
        </w:rPr>
        <w:t>1</w:t>
      </w:r>
      <w:r>
        <w:rPr>
          <w:sz w:val="20"/>
        </w:rPr>
        <w:t>月</w:t>
      </w:r>
      <w:r>
        <w:rPr>
          <w:sz w:val="20"/>
        </w:rPr>
        <w:t>5</w:t>
      </w:r>
      <w:r>
        <w:rPr>
          <w:sz w:val="20"/>
        </w:rPr>
        <w:t>日健保醫字第</w:t>
      </w:r>
      <w:r>
        <w:rPr>
          <w:sz w:val="20"/>
        </w:rPr>
        <w:t>1100017843</w:t>
      </w:r>
      <w:r>
        <w:rPr>
          <w:sz w:val="20"/>
        </w:rPr>
        <w:t>號公告</w:t>
      </w:r>
      <w:r w:rsidR="0006461C">
        <w:rPr>
          <w:sz w:val="20"/>
        </w:rPr>
        <w:t>修訂</w:t>
      </w:r>
    </w:p>
    <w:p w:rsidR="0006461C" w:rsidRDefault="006C605F" w:rsidP="0006461C">
      <w:pPr>
        <w:spacing w:after="3" w:line="275" w:lineRule="auto"/>
        <w:ind w:left="0" w:right="0" w:firstLine="3544"/>
        <w:jc w:val="both"/>
        <w:rPr>
          <w:sz w:val="20"/>
        </w:rPr>
      </w:pPr>
      <w:r>
        <w:rPr>
          <w:sz w:val="20"/>
        </w:rPr>
        <w:t>中華民國</w:t>
      </w:r>
      <w:r>
        <w:rPr>
          <w:sz w:val="20"/>
        </w:rPr>
        <w:t>111</w:t>
      </w:r>
      <w:r>
        <w:rPr>
          <w:sz w:val="20"/>
        </w:rPr>
        <w:t>年</w:t>
      </w:r>
      <w:r>
        <w:rPr>
          <w:sz w:val="20"/>
        </w:rPr>
        <w:t>12</w:t>
      </w:r>
      <w:r>
        <w:rPr>
          <w:sz w:val="20"/>
        </w:rPr>
        <w:t>月</w:t>
      </w:r>
      <w:r>
        <w:rPr>
          <w:sz w:val="20"/>
        </w:rPr>
        <w:t>28</w:t>
      </w:r>
      <w:r>
        <w:rPr>
          <w:sz w:val="20"/>
        </w:rPr>
        <w:t>日健保醫字第</w:t>
      </w:r>
      <w:r>
        <w:rPr>
          <w:sz w:val="20"/>
        </w:rPr>
        <w:t>111O123002</w:t>
      </w:r>
      <w:r>
        <w:rPr>
          <w:sz w:val="20"/>
        </w:rPr>
        <w:t>號公告修訂</w:t>
      </w:r>
    </w:p>
    <w:p w:rsidR="0006461C" w:rsidRDefault="006C605F" w:rsidP="0006461C">
      <w:pPr>
        <w:spacing w:after="3" w:line="275" w:lineRule="auto"/>
        <w:ind w:left="0" w:right="0" w:firstLine="3544"/>
        <w:jc w:val="both"/>
        <w:rPr>
          <w:sz w:val="20"/>
        </w:rPr>
      </w:pPr>
      <w:r>
        <w:rPr>
          <w:sz w:val="20"/>
        </w:rPr>
        <w:t>中華民國</w:t>
      </w:r>
      <w:r>
        <w:rPr>
          <w:sz w:val="20"/>
        </w:rPr>
        <w:t>112</w:t>
      </w:r>
      <w:r>
        <w:rPr>
          <w:sz w:val="20"/>
        </w:rPr>
        <w:t>年</w:t>
      </w:r>
      <w:r>
        <w:rPr>
          <w:sz w:val="20"/>
        </w:rPr>
        <w:t>12</w:t>
      </w:r>
      <w:r>
        <w:rPr>
          <w:sz w:val="20"/>
        </w:rPr>
        <w:t>月</w:t>
      </w:r>
      <w:r>
        <w:rPr>
          <w:sz w:val="20"/>
        </w:rPr>
        <w:t>21</w:t>
      </w:r>
      <w:r>
        <w:rPr>
          <w:sz w:val="20"/>
        </w:rPr>
        <w:t>日健保醫字第</w:t>
      </w:r>
      <w:r>
        <w:rPr>
          <w:sz w:val="20"/>
        </w:rPr>
        <w:t>1120665398</w:t>
      </w:r>
      <w:r>
        <w:rPr>
          <w:sz w:val="20"/>
        </w:rPr>
        <w:t>號公告修訂</w:t>
      </w:r>
    </w:p>
    <w:p w:rsidR="0006461C" w:rsidRDefault="006C605F" w:rsidP="0006461C">
      <w:pPr>
        <w:spacing w:after="3" w:line="275" w:lineRule="auto"/>
        <w:ind w:left="0" w:right="0" w:firstLine="3544"/>
        <w:jc w:val="both"/>
        <w:rPr>
          <w:sz w:val="20"/>
        </w:rPr>
      </w:pPr>
      <w:r>
        <w:rPr>
          <w:sz w:val="20"/>
        </w:rPr>
        <w:t>中華民國</w:t>
      </w:r>
      <w:r>
        <w:rPr>
          <w:sz w:val="20"/>
        </w:rPr>
        <w:t>113</w:t>
      </w:r>
      <w:r>
        <w:rPr>
          <w:sz w:val="20"/>
        </w:rPr>
        <w:t>年</w:t>
      </w:r>
      <w:r>
        <w:rPr>
          <w:sz w:val="20"/>
        </w:rPr>
        <w:t>12</w:t>
      </w:r>
      <w:r>
        <w:rPr>
          <w:sz w:val="20"/>
        </w:rPr>
        <w:t>月</w:t>
      </w:r>
      <w:r>
        <w:rPr>
          <w:sz w:val="20"/>
        </w:rPr>
        <w:t>17</w:t>
      </w:r>
      <w:r>
        <w:rPr>
          <w:sz w:val="20"/>
        </w:rPr>
        <w:t>日健保醫字第</w:t>
      </w:r>
      <w:r>
        <w:rPr>
          <w:sz w:val="20"/>
        </w:rPr>
        <w:t>1130126278</w:t>
      </w:r>
      <w:r>
        <w:rPr>
          <w:sz w:val="20"/>
        </w:rPr>
        <w:t>號公告修訂</w:t>
      </w:r>
    </w:p>
    <w:p w:rsidR="0006461C" w:rsidRDefault="006C605F" w:rsidP="0006461C">
      <w:pPr>
        <w:spacing w:after="3" w:line="275" w:lineRule="auto"/>
        <w:ind w:left="0" w:right="0" w:firstLine="3544"/>
        <w:jc w:val="both"/>
        <w:rPr>
          <w:sz w:val="20"/>
        </w:rPr>
      </w:pPr>
      <w:r>
        <w:rPr>
          <w:sz w:val="20"/>
        </w:rPr>
        <w:t>中華民國</w:t>
      </w:r>
      <w:r>
        <w:rPr>
          <w:sz w:val="20"/>
        </w:rPr>
        <w:t>115</w:t>
      </w:r>
      <w:r>
        <w:rPr>
          <w:sz w:val="20"/>
        </w:rPr>
        <w:t>年</w:t>
      </w:r>
      <w:r>
        <w:rPr>
          <w:sz w:val="20"/>
        </w:rPr>
        <w:t>4</w:t>
      </w:r>
      <w:r>
        <w:rPr>
          <w:sz w:val="20"/>
        </w:rPr>
        <w:t>月</w:t>
      </w:r>
      <w:r>
        <w:rPr>
          <w:sz w:val="20"/>
        </w:rPr>
        <w:t>14</w:t>
      </w:r>
      <w:r>
        <w:rPr>
          <w:sz w:val="20"/>
        </w:rPr>
        <w:t>日健保醫字第</w:t>
      </w:r>
      <w:r>
        <w:rPr>
          <w:sz w:val="20"/>
        </w:rPr>
        <w:t>1150106626</w:t>
      </w:r>
      <w:r>
        <w:rPr>
          <w:sz w:val="20"/>
        </w:rPr>
        <w:t>號公告修訂</w:t>
      </w:r>
    </w:p>
    <w:p w:rsidR="00BE552E" w:rsidRDefault="006C605F" w:rsidP="0006461C">
      <w:pPr>
        <w:spacing w:after="3" w:line="275" w:lineRule="auto"/>
        <w:ind w:left="0" w:right="0" w:hanging="142"/>
        <w:jc w:val="both"/>
      </w:pPr>
      <w:r>
        <w:t>壹、依據：</w:t>
      </w:r>
      <w:r>
        <w:t xml:space="preserve"> </w:t>
      </w:r>
    </w:p>
    <w:p w:rsidR="00BE552E" w:rsidRDefault="006C605F">
      <w:pPr>
        <w:ind w:left="574" w:right="0" w:firstLine="427"/>
      </w:pPr>
      <w:r>
        <w:t>依據全民健康保險會（以下稱健保會）協定年度醫療給付費用總額事項辦理。</w:t>
      </w:r>
      <w:r>
        <w:t xml:space="preserve"> </w:t>
      </w:r>
    </w:p>
    <w:p w:rsidR="00BE552E" w:rsidRDefault="006C605F">
      <w:pPr>
        <w:ind w:left="-5" w:right="0"/>
      </w:pPr>
      <w:r>
        <w:t>貳、目的：</w:t>
      </w:r>
      <w:r>
        <w:t xml:space="preserve"> </w:t>
      </w:r>
    </w:p>
    <w:p w:rsidR="00BE552E" w:rsidRDefault="006C605F">
      <w:pPr>
        <w:ind w:left="574" w:right="0" w:firstLine="427"/>
      </w:pPr>
      <w:r>
        <w:t>本方案之實施，在於提升中醫醫療服務品質，獎勵績效卓著之中醫門診特約醫事服務機構。</w:t>
      </w:r>
      <w:r>
        <w:t xml:space="preserve"> </w:t>
      </w:r>
    </w:p>
    <w:p w:rsidR="00BE552E" w:rsidRDefault="006C605F">
      <w:pPr>
        <w:ind w:left="-5" w:right="0"/>
      </w:pPr>
      <w:r>
        <w:t>參、預算來源：</w:t>
      </w:r>
      <w:r>
        <w:t xml:space="preserve"> </w:t>
      </w:r>
    </w:p>
    <w:p w:rsidR="00BE552E" w:rsidRDefault="006C605F">
      <w:pPr>
        <w:ind w:left="574" w:right="0" w:firstLine="427"/>
      </w:pPr>
      <w:r>
        <w:t>全民健康保險年度中醫門診醫療給付費用總額中之「品質保證保留款」。</w:t>
      </w:r>
      <w:r>
        <w:t xml:space="preserve"> </w:t>
      </w:r>
    </w:p>
    <w:p w:rsidR="00BE552E" w:rsidRDefault="006C605F">
      <w:pPr>
        <w:ind w:left="-5" w:right="0"/>
      </w:pPr>
      <w:r>
        <w:t>肆、支用條件：</w:t>
      </w:r>
      <w:r>
        <w:t xml:space="preserve"> </w:t>
      </w:r>
    </w:p>
    <w:p w:rsidR="00BE552E" w:rsidRDefault="006C605F">
      <w:pPr>
        <w:numPr>
          <w:ilvl w:val="0"/>
          <w:numId w:val="1"/>
        </w:numPr>
        <w:ind w:right="0" w:hanging="641"/>
      </w:pPr>
      <w:r>
        <w:t>本方案品質保證保留款之分配與支用，每年結算一次。</w:t>
      </w:r>
      <w:r>
        <w:t xml:space="preserve"> </w:t>
      </w:r>
    </w:p>
    <w:p w:rsidR="00BE552E" w:rsidRDefault="006C605F">
      <w:pPr>
        <w:numPr>
          <w:ilvl w:val="0"/>
          <w:numId w:val="1"/>
        </w:numPr>
        <w:ind w:right="0" w:hanging="641"/>
      </w:pPr>
      <w:r>
        <w:t>提供資料及來源：本方案第柒點第四項、第五項、第七項及第捌點第三項與第玖點第一項，由中華民國中醫師公會全國聯合會（以下稱中醫全聯會）於次年</w:t>
      </w:r>
      <w:r>
        <w:t>2</w:t>
      </w:r>
      <w:r>
        <w:t>月底前提供名單並函請全民健康保險保險人</w:t>
      </w:r>
      <w:r>
        <w:t>(</w:t>
      </w:r>
      <w:r>
        <w:t>以下稱保險人</w:t>
      </w:r>
      <w:r>
        <w:t>)</w:t>
      </w:r>
      <w:r>
        <w:t>辦理結算。</w:t>
      </w:r>
      <w:r>
        <w:t xml:space="preserve"> </w:t>
      </w:r>
    </w:p>
    <w:p w:rsidR="00BE552E" w:rsidRDefault="006C605F">
      <w:pPr>
        <w:ind w:left="287" w:right="3865" w:hanging="302"/>
      </w:pPr>
      <w:r>
        <w:t>伍、預算分配方式：一、核算基礎：</w:t>
      </w:r>
      <w:r>
        <w:t xml:space="preserve"> </w:t>
      </w:r>
    </w:p>
    <w:p w:rsidR="00BE552E" w:rsidRDefault="006C605F">
      <w:pPr>
        <w:ind w:left="612" w:right="0"/>
      </w:pPr>
      <w:r>
        <w:t>(</w:t>
      </w:r>
      <w:r>
        <w:t>一</w:t>
      </w:r>
      <w:r>
        <w:t>)</w:t>
      </w:r>
      <w:r>
        <w:t>該院所之核算基礎</w:t>
      </w:r>
      <w:r>
        <w:t xml:space="preserve">(A) </w:t>
      </w:r>
    </w:p>
    <w:p w:rsidR="00BE552E" w:rsidRDefault="006C605F">
      <w:pPr>
        <w:ind w:left="1200" w:right="0"/>
      </w:pPr>
      <w:r>
        <w:t>＝（該院所申報當年醫療服務點數－當年申報藥費）</w:t>
      </w:r>
      <w:r>
        <w:t>×</w:t>
      </w:r>
      <w:r>
        <w:t>該院所年平均核付率</w:t>
      </w:r>
      <w:r>
        <w:t>(</w:t>
      </w:r>
      <w:r>
        <w:t>含部分負擔，註</w:t>
      </w:r>
      <w:r>
        <w:t xml:space="preserve">1) </w:t>
      </w:r>
    </w:p>
    <w:p w:rsidR="00BE552E" w:rsidRDefault="006C605F" w:rsidP="0006461C">
      <w:pPr>
        <w:spacing w:after="43"/>
        <w:ind w:left="1200" w:right="0"/>
      </w:pPr>
      <w:r>
        <w:t>說明：當年申報醫療服務點數及年平均核付率以次年</w:t>
      </w:r>
      <w:r>
        <w:t xml:space="preserve">1 </w:t>
      </w:r>
      <w:r>
        <w:t>月底為截止點。</w:t>
      </w:r>
      <w:r>
        <w:t xml:space="preserve"> (</w:t>
      </w:r>
      <w:r>
        <w:t>二</w:t>
      </w:r>
      <w:r>
        <w:t>)</w:t>
      </w:r>
      <w:r>
        <w:t>前述核算基礎，依本方案第捌點及第玖點增減原則，計</w:t>
      </w:r>
      <w:r>
        <w:t>算每院所參與品質保證保留款</w:t>
      </w:r>
      <w:r>
        <w:t>之核算基礎。各院所參與品質保證保留款之核算基礎</w:t>
      </w:r>
      <w:r>
        <w:t xml:space="preserve">(B)= </w:t>
      </w:r>
    </w:p>
    <w:p w:rsidR="00BE552E" w:rsidRDefault="006C605F">
      <w:pPr>
        <w:ind w:left="1256" w:right="0"/>
      </w:pPr>
      <w:r>
        <w:lastRenderedPageBreak/>
        <w:t>60%×</w:t>
      </w:r>
      <w:r>
        <w:t>各院所核算基礎</w:t>
      </w:r>
      <w:r>
        <w:t xml:space="preserve">(A) ± </w:t>
      </w:r>
      <w:r>
        <w:t>第捌點及第玖點增減點數</w:t>
      </w:r>
      <w:r>
        <w:t xml:space="preserve"> </w:t>
      </w:r>
    </w:p>
    <w:p w:rsidR="00BE552E" w:rsidRDefault="006C605F">
      <w:pPr>
        <w:ind w:left="1231" w:right="0" w:hanging="662"/>
      </w:pPr>
      <w:r>
        <w:t>(</w:t>
      </w:r>
      <w:r>
        <w:t>三</w:t>
      </w:r>
      <w:r>
        <w:t>)</w:t>
      </w:r>
      <w:r>
        <w:t>各院所分配品質保證保留款金額＝</w:t>
      </w:r>
      <w:r>
        <w:t>(</w:t>
      </w:r>
      <w:r>
        <w:t>各院所參與品質保證保留款之核算基礎</w:t>
      </w:r>
      <w:r>
        <w:t>(B)/</w:t>
      </w:r>
      <w:r>
        <w:t>各院所品質保證保留款核算基礎合計</w:t>
      </w:r>
      <w:r>
        <w:t>(ΣB))×</w:t>
      </w:r>
      <w:r>
        <w:t>品質保證保留款</w:t>
      </w:r>
      <w:r>
        <w:t xml:space="preserve"> </w:t>
      </w:r>
    </w:p>
    <w:p w:rsidR="0006461C" w:rsidRDefault="006C605F" w:rsidP="0006461C">
      <w:pPr>
        <w:ind w:left="993" w:right="0" w:hanging="706"/>
      </w:pPr>
      <w:r>
        <w:t>二、辦理本方案核發作業後，若有未列入本方案核發名單之中醫門診特約醫事服務機構提出申復等行政救濟事宜，案經審核同意列入核發者，其核發金額將自次年度中醫門診總額品質保留款項下優先支應，若次年度無同項預算，則自當時結算之當季中醫門診總額一般服務項目預算中支應。</w:t>
      </w:r>
    </w:p>
    <w:p w:rsidR="00BE552E" w:rsidRDefault="006C605F" w:rsidP="0006461C">
      <w:pPr>
        <w:ind w:left="993" w:right="0" w:hanging="706"/>
      </w:pPr>
      <w:r>
        <w:t>陸、核發資格：</w:t>
      </w:r>
      <w:r>
        <w:t xml:space="preserve"> </w:t>
      </w:r>
    </w:p>
    <w:p w:rsidR="00BE552E" w:rsidRDefault="006C605F">
      <w:pPr>
        <w:numPr>
          <w:ilvl w:val="0"/>
          <w:numId w:val="2"/>
        </w:numPr>
        <w:ind w:right="0" w:hanging="641"/>
      </w:pPr>
      <w:r>
        <w:t>當年中醫門診特約醫事服務機構且無本方案第柒點情形者，得符合核發品質保證保留款資格；另當年度院所之醫事服務機構代號如有變更，視為不同開業主體分別計算。</w:t>
      </w:r>
      <w:r>
        <w:t xml:space="preserve"> </w:t>
      </w:r>
    </w:p>
    <w:p w:rsidR="00BE552E" w:rsidRDefault="006C605F">
      <w:pPr>
        <w:numPr>
          <w:ilvl w:val="0"/>
          <w:numId w:val="2"/>
        </w:numPr>
        <w:ind w:right="0" w:hanging="641"/>
      </w:pPr>
      <w:r>
        <w:t>符合核發品質保證保留款資格核定分數計算</w:t>
      </w:r>
      <w:r>
        <w:t xml:space="preserve">: </w:t>
      </w:r>
    </w:p>
    <w:p w:rsidR="0006461C" w:rsidRDefault="006C605F" w:rsidP="0006461C">
      <w:pPr>
        <w:spacing w:after="0" w:line="268" w:lineRule="auto"/>
        <w:ind w:right="0"/>
        <w:jc w:val="center"/>
      </w:pPr>
      <w:r>
        <w:t>(</w:t>
      </w:r>
      <w:r>
        <w:t>一</w:t>
      </w:r>
      <w:r>
        <w:t>)</w:t>
      </w:r>
      <w:r>
        <w:t>符合本方案第捌點第二項者，給予核定分數</w:t>
      </w:r>
      <w:r>
        <w:t>20</w:t>
      </w:r>
      <w:r>
        <w:t>分。</w:t>
      </w:r>
      <w:r>
        <w:t xml:space="preserve"> </w:t>
      </w:r>
    </w:p>
    <w:p w:rsidR="0006461C" w:rsidRDefault="006C605F" w:rsidP="0006461C">
      <w:pPr>
        <w:spacing w:after="0" w:line="268" w:lineRule="auto"/>
        <w:ind w:right="0"/>
        <w:jc w:val="center"/>
      </w:pPr>
      <w:r>
        <w:t>(</w:t>
      </w:r>
      <w:r>
        <w:t>二</w:t>
      </w:r>
      <w:r>
        <w:t>)</w:t>
      </w:r>
      <w:r>
        <w:t>符合本方案第捌點第三項者，給予核定分數</w:t>
      </w:r>
      <w:r>
        <w:t>15</w:t>
      </w:r>
      <w:r>
        <w:t>分。</w:t>
      </w:r>
      <w:r>
        <w:t xml:space="preserve"> </w:t>
      </w:r>
    </w:p>
    <w:p w:rsidR="00BE552E" w:rsidRDefault="006C605F" w:rsidP="0006461C">
      <w:pPr>
        <w:spacing w:after="0" w:line="268" w:lineRule="auto"/>
        <w:ind w:right="0"/>
        <w:jc w:val="center"/>
      </w:pPr>
      <w:r>
        <w:t>(</w:t>
      </w:r>
      <w:r>
        <w:t>三</w:t>
      </w:r>
      <w:r>
        <w:t>)</w:t>
      </w:r>
      <w:r>
        <w:t>符合第捌點第四至</w:t>
      </w:r>
      <w:r>
        <w:rPr>
          <w:u w:val="single" w:color="000000"/>
        </w:rPr>
        <w:t>九</w:t>
      </w:r>
      <w:r>
        <w:t>項者，各給予核定分數</w:t>
      </w:r>
      <w:r>
        <w:t>10</w:t>
      </w:r>
      <w:r>
        <w:t>分。</w:t>
      </w:r>
      <w:r>
        <w:t xml:space="preserve"> </w:t>
      </w:r>
    </w:p>
    <w:p w:rsidR="00BE552E" w:rsidRDefault="006C605F" w:rsidP="0006461C">
      <w:pPr>
        <w:ind w:left="1560" w:right="0" w:hanging="993"/>
      </w:pPr>
      <w:r>
        <w:t>(</w:t>
      </w:r>
      <w:r>
        <w:t>四</w:t>
      </w:r>
      <w:r>
        <w:t>)</w:t>
      </w:r>
      <w:r>
        <w:t>符合本方案第玖點第一項者，當年申報健保費用醫師扣核定分數</w:t>
      </w:r>
      <w:r>
        <w:t>2</w:t>
      </w:r>
      <w:r>
        <w:t>分，單一院所最多扣核定分數</w:t>
      </w:r>
      <w:r>
        <w:t>10</w:t>
      </w:r>
      <w:r>
        <w:t>分。</w:t>
      </w:r>
      <w:r>
        <w:t xml:space="preserve"> </w:t>
      </w:r>
    </w:p>
    <w:p w:rsidR="00BE552E" w:rsidRDefault="006C605F" w:rsidP="0006461C">
      <w:pPr>
        <w:spacing w:after="0" w:line="268" w:lineRule="auto"/>
        <w:ind w:left="1276" w:right="0" w:hanging="709"/>
      </w:pPr>
      <w:r>
        <w:t>(</w:t>
      </w:r>
      <w:r>
        <w:t>五</w:t>
      </w:r>
      <w:r>
        <w:t>)</w:t>
      </w:r>
      <w:r>
        <w:t>符合本方案第玖點第二至</w:t>
      </w:r>
      <w:r w:rsidRPr="0006461C">
        <w:t>四</w:t>
      </w:r>
      <w:r>
        <w:t>項者，各給予扣核定分數</w:t>
      </w:r>
      <w:r>
        <w:t>5</w:t>
      </w:r>
      <w:r>
        <w:t>分。</w:t>
      </w:r>
      <w:r>
        <w:t xml:space="preserve"> </w:t>
      </w:r>
    </w:p>
    <w:p w:rsidR="00BE552E" w:rsidRDefault="006C605F">
      <w:pPr>
        <w:numPr>
          <w:ilvl w:val="0"/>
          <w:numId w:val="2"/>
        </w:numPr>
        <w:ind w:right="0" w:hanging="641"/>
      </w:pPr>
      <w:r>
        <w:t>符合核發品質保證保留款資格院所，依核定分數由高而低排列，取前</w:t>
      </w:r>
      <w:r>
        <w:t>90%</w:t>
      </w:r>
      <w:r>
        <w:t>之院所進行核發。</w:t>
      </w:r>
      <w:r>
        <w:t xml:space="preserve"> </w:t>
      </w:r>
    </w:p>
    <w:p w:rsidR="00BE552E" w:rsidRDefault="006C605F">
      <w:pPr>
        <w:ind w:left="693" w:right="0" w:hanging="708"/>
      </w:pPr>
      <w:r>
        <w:t>柒、中醫門診特約醫事服務機構有下列情形之一者，不予核發品質保證保留款：</w:t>
      </w:r>
      <w:r>
        <w:t xml:space="preserve"> </w:t>
      </w:r>
    </w:p>
    <w:p w:rsidR="0006461C" w:rsidRDefault="006C605F">
      <w:pPr>
        <w:ind w:left="960" w:right="0" w:hanging="648"/>
      </w:pPr>
      <w:r>
        <w:t>一、當年度在前一年</w:t>
      </w:r>
      <w:r>
        <w:t>12</w:t>
      </w:r>
      <w:r>
        <w:t>月每萬人口中醫師數</w:t>
      </w:r>
      <w:r>
        <w:t>3.0(</w:t>
      </w:r>
      <w:r>
        <w:t>含</w:t>
      </w:r>
      <w:r>
        <w:t>)</w:t>
      </w:r>
      <w:r>
        <w:t>以上之鄉鎮市區新設立中醫門診特約醫事服務機構（註</w:t>
      </w:r>
      <w:r>
        <w:t>2</w:t>
      </w:r>
      <w:r>
        <w:t>）。</w:t>
      </w:r>
    </w:p>
    <w:p w:rsidR="00BE552E" w:rsidRDefault="006C605F">
      <w:pPr>
        <w:ind w:left="960" w:right="0" w:hanging="648"/>
      </w:pPr>
      <w:r>
        <w:t>二、核減率：中醫門診特約醫事服務機構年平均核減率（註</w:t>
      </w:r>
      <w:r>
        <w:t>3</w:t>
      </w:r>
      <w:r>
        <w:t>），超過該區</w:t>
      </w:r>
      <w:r>
        <w:t>90</w:t>
      </w:r>
      <w:r>
        <w:t>百分位，且超過前一年該區之年總平均核減率者。</w:t>
      </w:r>
      <w:r>
        <w:t xml:space="preserve"> </w:t>
      </w:r>
    </w:p>
    <w:p w:rsidR="00BE552E" w:rsidRDefault="006C605F">
      <w:pPr>
        <w:numPr>
          <w:ilvl w:val="0"/>
          <w:numId w:val="3"/>
        </w:numPr>
        <w:ind w:right="0" w:hanging="646"/>
      </w:pPr>
      <w:r>
        <w:t>中醫門診特約醫事服務機構當年度有全民健康保險醫事服務機構特約及管理辦法第</w:t>
      </w:r>
      <w:r>
        <w:t>36</w:t>
      </w:r>
      <w:r>
        <w:t>條至第</w:t>
      </w:r>
      <w:r>
        <w:t>40</w:t>
      </w:r>
      <w:r>
        <w:t>條、第</w:t>
      </w:r>
      <w:r>
        <w:t>44</w:t>
      </w:r>
      <w:r>
        <w:t>條至第</w:t>
      </w:r>
      <w:r>
        <w:t>45</w:t>
      </w:r>
      <w:r>
        <w:t>條等所列違規情事之一，並經核定違規者以保險人第一次核定違規函所載處置日期認定</w:t>
      </w:r>
      <w:r>
        <w:t>(</w:t>
      </w:r>
      <w:r>
        <w:t>含行政救濟程序進行中尚未執行或申請緩執行者</w:t>
      </w:r>
      <w:r>
        <w:t>)</w:t>
      </w:r>
      <w:r>
        <w:t>。倘停止或終止特約期間為跨年度者，該期間涵蓋所屬之年度，均不予核發。</w:t>
      </w:r>
      <w:r>
        <w:t xml:space="preserve"> </w:t>
      </w:r>
    </w:p>
    <w:p w:rsidR="00BE552E" w:rsidRDefault="006C605F">
      <w:pPr>
        <w:numPr>
          <w:ilvl w:val="0"/>
          <w:numId w:val="3"/>
        </w:numPr>
        <w:ind w:right="0" w:hanging="646"/>
      </w:pPr>
      <w:r>
        <w:t>中醫門診特約醫事服務機構非屬「全民健康保險中醫門診總額支付制度品質確保方案」之中醫醫療院所加強感染控制指標合格者。</w:t>
      </w:r>
      <w:r>
        <w:t xml:space="preserve"> </w:t>
      </w:r>
    </w:p>
    <w:p w:rsidR="00BE552E" w:rsidRDefault="006C605F">
      <w:pPr>
        <w:numPr>
          <w:ilvl w:val="0"/>
          <w:numId w:val="3"/>
        </w:numPr>
        <w:ind w:right="0" w:hanging="646"/>
      </w:pPr>
      <w:r>
        <w:t>未符合中醫全聯會提供之「醫療費用明細標示」院所。</w:t>
      </w:r>
      <w:r>
        <w:t xml:space="preserve"> </w:t>
      </w:r>
    </w:p>
    <w:p w:rsidR="00BE552E" w:rsidRDefault="006C605F">
      <w:pPr>
        <w:numPr>
          <w:ilvl w:val="0"/>
          <w:numId w:val="3"/>
        </w:numPr>
        <w:ind w:right="0" w:hanging="646"/>
      </w:pPr>
      <w:r>
        <w:t>未符合本方案「中藥用藥安全管理及品質提升作業要點」</w:t>
      </w:r>
    </w:p>
    <w:p w:rsidR="00BE552E" w:rsidRDefault="006C605F">
      <w:pPr>
        <w:ind w:left="970" w:right="0"/>
      </w:pPr>
      <w:r>
        <w:t>(</w:t>
      </w:r>
      <w:r>
        <w:t>詳附件</w:t>
      </w:r>
      <w:r>
        <w:t>)</w:t>
      </w:r>
      <w:r>
        <w:t>之院所。</w:t>
      </w:r>
      <w:r>
        <w:t xml:space="preserve"> </w:t>
      </w:r>
    </w:p>
    <w:p w:rsidR="00BE552E" w:rsidRDefault="006C605F">
      <w:pPr>
        <w:spacing w:after="51"/>
        <w:ind w:left="-5" w:right="0"/>
      </w:pPr>
      <w:r>
        <w:t>捌、品質保證保留款核算基礎之加計原則：</w:t>
      </w:r>
      <w:r>
        <w:t xml:space="preserve">  </w:t>
      </w:r>
    </w:p>
    <w:p w:rsidR="00BE552E" w:rsidRDefault="006C605F">
      <w:pPr>
        <w:numPr>
          <w:ilvl w:val="0"/>
          <w:numId w:val="4"/>
        </w:numPr>
        <w:spacing w:after="43"/>
        <w:ind w:right="0" w:hanging="706"/>
      </w:pPr>
      <w:r>
        <w:t>符合核發品質保證保留款資格前</w:t>
      </w:r>
      <w:r>
        <w:t>30%</w:t>
      </w:r>
      <w:r>
        <w:t>之院所，核算基礎</w:t>
      </w:r>
      <w:r>
        <w:t xml:space="preserve">(A) </w:t>
      </w:r>
      <w:r>
        <w:t>加計</w:t>
      </w:r>
      <w:r>
        <w:t>100%</w:t>
      </w:r>
      <w:r>
        <w:t>。</w:t>
      </w:r>
      <w:r>
        <w:t xml:space="preserve"> </w:t>
      </w:r>
    </w:p>
    <w:p w:rsidR="00BE552E" w:rsidRDefault="006C605F">
      <w:pPr>
        <w:numPr>
          <w:ilvl w:val="0"/>
          <w:numId w:val="4"/>
        </w:numPr>
        <w:spacing w:after="43"/>
        <w:ind w:right="0" w:hanging="706"/>
      </w:pPr>
      <w:r>
        <w:t>當年度新設立之中醫門診特約醫事服務機構（屬新醫事服務機構代號者），屬於同年之「全民健康保險中醫門診總額醫療資源不足地區改善方案」無中醫門診特約醫事服</w:t>
      </w:r>
      <w:r>
        <w:t>務機構之鄉鎮開業地區，依核算基礎</w:t>
      </w:r>
      <w:r>
        <w:t>(A)</w:t>
      </w:r>
      <w:r>
        <w:t>加計</w:t>
      </w:r>
      <w:r>
        <w:t>100</w:t>
      </w:r>
      <w:r>
        <w:t>﹪。</w:t>
      </w:r>
      <w:r>
        <w:t xml:space="preserve"> </w:t>
      </w:r>
    </w:p>
    <w:p w:rsidR="00BE552E" w:rsidRDefault="006C605F">
      <w:pPr>
        <w:numPr>
          <w:ilvl w:val="0"/>
          <w:numId w:val="4"/>
        </w:numPr>
        <w:spacing w:after="43"/>
        <w:ind w:right="0" w:hanging="706"/>
      </w:pPr>
      <w:r>
        <w:t>為鼓勵提升中醫醫療服務品質，中醫門診特約醫事服務機構從事教學研究且績效卓著者，依核算基礎</w:t>
      </w:r>
      <w:r>
        <w:t>(A)</w:t>
      </w:r>
      <w:r>
        <w:t>加計</w:t>
      </w:r>
      <w:r>
        <w:t xml:space="preserve">10 </w:t>
      </w:r>
      <w:r>
        <w:t>％。其適用對象為經衛生福利部中醫藥司「中醫醫療院所負責醫師二年以上醫師訓練合格」之院所。</w:t>
      </w:r>
      <w:r>
        <w:t xml:space="preserve"> </w:t>
      </w:r>
    </w:p>
    <w:p w:rsidR="00BE552E" w:rsidRDefault="006C605F">
      <w:pPr>
        <w:numPr>
          <w:ilvl w:val="0"/>
          <w:numId w:val="4"/>
        </w:numPr>
        <w:ind w:right="0" w:hanging="706"/>
      </w:pPr>
      <w:r>
        <w:t>為鼓勵中醫師提供假日看診服務減少民眾就診不便，中醫門診特約醫事服務機構當年度於週日看診超過</w:t>
      </w:r>
      <w:r>
        <w:t>30</w:t>
      </w:r>
      <w:r>
        <w:t>天</w:t>
      </w:r>
      <w:r>
        <w:t xml:space="preserve"> </w:t>
      </w:r>
      <w:r>
        <w:t>(</w:t>
      </w:r>
      <w:r>
        <w:t>含</w:t>
      </w:r>
      <w:r>
        <w:t>)</w:t>
      </w:r>
      <w:r>
        <w:t>以上者，依核算基礎</w:t>
      </w:r>
      <w:r>
        <w:t>(A)</w:t>
      </w:r>
      <w:r>
        <w:t>加計</w:t>
      </w:r>
      <w:r>
        <w:t>10</w:t>
      </w:r>
      <w:r>
        <w:t>％；超過</w:t>
      </w:r>
      <w:r>
        <w:t>45</w:t>
      </w:r>
      <w:r>
        <w:t>天</w:t>
      </w:r>
      <w:r>
        <w:t>(</w:t>
      </w:r>
      <w:r>
        <w:t>含</w:t>
      </w:r>
      <w:r>
        <w:t>)</w:t>
      </w:r>
      <w:r>
        <w:t>以上者，依核算基礎</w:t>
      </w:r>
      <w:r>
        <w:t>(A)</w:t>
      </w:r>
      <w:r>
        <w:t>加計</w:t>
      </w:r>
      <w:r>
        <w:t>20</w:t>
      </w:r>
      <w:r>
        <w:t>％（</w:t>
      </w:r>
      <w:r>
        <w:rPr>
          <w:u w:val="single" w:color="000000"/>
        </w:rPr>
        <w:t>註</w:t>
      </w:r>
      <w:r>
        <w:rPr>
          <w:u w:val="single" w:color="000000"/>
        </w:rPr>
        <w:t>4</w:t>
      </w:r>
      <w:r>
        <w:t>）。</w:t>
      </w:r>
      <w:r>
        <w:t xml:space="preserve"> </w:t>
      </w:r>
    </w:p>
    <w:p w:rsidR="00BE552E" w:rsidRDefault="006C605F">
      <w:pPr>
        <w:numPr>
          <w:ilvl w:val="0"/>
          <w:numId w:val="4"/>
        </w:numPr>
        <w:spacing w:after="43"/>
        <w:ind w:right="0" w:hanging="706"/>
      </w:pPr>
      <w:r>
        <w:t>中醫門診特約醫事服務機構參與「全民健康保險鼓勵醫事服務機構即時查詢病患就醫資訊方案」者，依核算基礎</w:t>
      </w:r>
      <w:r>
        <w:t>(A)</w:t>
      </w:r>
      <w:r>
        <w:t>加計</w:t>
      </w:r>
      <w:r>
        <w:t>5%</w:t>
      </w:r>
      <w:r>
        <w:t>。</w:t>
      </w:r>
      <w:r>
        <w:t xml:space="preserve"> </w:t>
      </w:r>
    </w:p>
    <w:p w:rsidR="00BE552E" w:rsidRDefault="006C605F">
      <w:pPr>
        <w:numPr>
          <w:ilvl w:val="0"/>
          <w:numId w:val="4"/>
        </w:numPr>
        <w:spacing w:after="0" w:line="278" w:lineRule="auto"/>
        <w:ind w:right="0" w:hanging="706"/>
      </w:pPr>
      <w:r>
        <w:t>為推動中醫門診特約醫事服務機構於健保資訊網服務系統</w:t>
      </w:r>
      <w:r>
        <w:t>(Virtual Private Network ,</w:t>
      </w:r>
      <w:r>
        <w:t>以下稱</w:t>
      </w:r>
      <w:r>
        <w:t>VPN)</w:t>
      </w:r>
      <w:r>
        <w:t>公告連續假期排班等變動情形，鼓勵院所即時更新排班時間，院所「每月完成門診時間網路登錄」者，依核算基礎</w:t>
      </w:r>
      <w:r>
        <w:t>(A)</w:t>
      </w:r>
      <w:r>
        <w:t>加計</w:t>
      </w:r>
    </w:p>
    <w:p w:rsidR="00BE552E" w:rsidRDefault="006C605F">
      <w:pPr>
        <w:spacing w:after="65" w:line="259" w:lineRule="auto"/>
        <w:ind w:right="193"/>
        <w:jc w:val="right"/>
      </w:pPr>
      <w:r>
        <w:t>10%</w:t>
      </w:r>
      <w:r>
        <w:t>，未全年完成門診時間網路登入者則不予加計（</w:t>
      </w:r>
      <w:r>
        <w:rPr>
          <w:u w:val="single" w:color="000000"/>
        </w:rPr>
        <w:t>註</w:t>
      </w:r>
      <w:r>
        <w:rPr>
          <w:u w:val="single" w:color="000000"/>
        </w:rPr>
        <w:t>5</w:t>
      </w:r>
      <w:r>
        <w:t>）。</w:t>
      </w:r>
      <w:r>
        <w:t xml:space="preserve"> </w:t>
      </w:r>
    </w:p>
    <w:p w:rsidR="00BE552E" w:rsidRDefault="006C605F">
      <w:pPr>
        <w:numPr>
          <w:ilvl w:val="0"/>
          <w:numId w:val="4"/>
        </w:numPr>
        <w:spacing w:after="30" w:line="279" w:lineRule="auto"/>
        <w:ind w:right="0" w:hanging="706"/>
      </w:pPr>
      <w:r>
        <w:rPr>
          <w:u w:val="single" w:color="000000"/>
        </w:rPr>
        <w:t>參與「全民健康保險中醫門診總額醫療資源不足地區改善方案」院所核算基礎加計</w:t>
      </w:r>
      <w:r>
        <w:rPr>
          <w:u w:val="single" w:color="000000"/>
        </w:rPr>
        <w:t>_10_%</w:t>
      </w:r>
      <w:r>
        <w:rPr>
          <w:u w:val="single" w:color="000000"/>
        </w:rPr>
        <w:t>（註</w:t>
      </w:r>
      <w:r>
        <w:rPr>
          <w:u w:val="single" w:color="000000"/>
        </w:rPr>
        <w:t>6</w:t>
      </w:r>
      <w:r>
        <w:rPr>
          <w:u w:val="single" w:color="000000"/>
        </w:rPr>
        <w:t>）。</w:t>
      </w:r>
      <w:r>
        <w:t xml:space="preserve"> </w:t>
      </w:r>
    </w:p>
    <w:p w:rsidR="00BE552E" w:rsidRDefault="006C605F">
      <w:pPr>
        <w:numPr>
          <w:ilvl w:val="0"/>
          <w:numId w:val="4"/>
        </w:numPr>
        <w:spacing w:after="30" w:line="279" w:lineRule="auto"/>
        <w:ind w:right="0" w:hanging="706"/>
      </w:pPr>
      <w:r>
        <w:rPr>
          <w:u w:val="single" w:color="000000"/>
        </w:rPr>
        <w:t>參與「全民</w:t>
      </w:r>
      <w:r>
        <w:rPr>
          <w:u w:val="single" w:color="000000"/>
        </w:rPr>
        <w:t>健康保險中醫門診總額照護機構中醫醫療照護方案」核算基礎加計</w:t>
      </w:r>
      <w:r>
        <w:rPr>
          <w:u w:val="single" w:color="000000"/>
        </w:rPr>
        <w:t>_5 %</w:t>
      </w:r>
      <w:r>
        <w:rPr>
          <w:u w:val="single" w:color="000000"/>
        </w:rPr>
        <w:t>（註</w:t>
      </w:r>
      <w:r>
        <w:rPr>
          <w:u w:val="single" w:color="000000"/>
        </w:rPr>
        <w:t>7</w:t>
      </w:r>
      <w:r>
        <w:rPr>
          <w:u w:val="single" w:color="000000"/>
        </w:rPr>
        <w:t>）。</w:t>
      </w:r>
      <w:r>
        <w:t xml:space="preserve"> </w:t>
      </w:r>
    </w:p>
    <w:p w:rsidR="00BE552E" w:rsidRDefault="006C605F">
      <w:pPr>
        <w:numPr>
          <w:ilvl w:val="0"/>
          <w:numId w:val="4"/>
        </w:numPr>
        <w:spacing w:after="0" w:line="279" w:lineRule="auto"/>
        <w:ind w:right="0" w:hanging="706"/>
      </w:pPr>
      <w:r>
        <w:rPr>
          <w:u w:val="single" w:color="000000"/>
        </w:rPr>
        <w:t>「全民健康保險居家醫療照護整合計畫」院所核算基礎加計</w:t>
      </w:r>
      <w:r>
        <w:rPr>
          <w:u w:val="single" w:color="000000"/>
        </w:rPr>
        <w:t>_5 %</w:t>
      </w:r>
      <w:r>
        <w:rPr>
          <w:u w:val="single" w:color="000000"/>
        </w:rPr>
        <w:t>（註</w:t>
      </w:r>
      <w:r>
        <w:rPr>
          <w:u w:val="single" w:color="000000"/>
        </w:rPr>
        <w:t>8</w:t>
      </w:r>
      <w:r>
        <w:rPr>
          <w:u w:val="single" w:color="000000"/>
        </w:rPr>
        <w:t>）。</w:t>
      </w:r>
      <w:r>
        <w:t xml:space="preserve"> </w:t>
      </w:r>
    </w:p>
    <w:p w:rsidR="00BE552E" w:rsidRDefault="006C605F">
      <w:pPr>
        <w:ind w:left="-5" w:right="0"/>
      </w:pPr>
      <w:r>
        <w:t>玖、品質保證保留款核算基礎之減計原則：</w:t>
      </w:r>
      <w:r>
        <w:t xml:space="preserve"> </w:t>
      </w:r>
    </w:p>
    <w:p w:rsidR="00BE552E" w:rsidRDefault="006C605F" w:rsidP="0006461C">
      <w:pPr>
        <w:numPr>
          <w:ilvl w:val="0"/>
          <w:numId w:val="5"/>
        </w:numPr>
        <w:ind w:left="851" w:right="0" w:hanging="550"/>
      </w:pPr>
      <w:r>
        <w:t>保險醫事服務機構之中醫師未依中醫全聯會所定「中醫師繼續教育點數管理辦法」之規定修滿繼續教育點數</w:t>
      </w:r>
      <w:r>
        <w:t>(</w:t>
      </w:r>
      <w:r>
        <w:t>每年</w:t>
      </w:r>
    </w:p>
    <w:p w:rsidR="00BE552E" w:rsidRDefault="006C605F" w:rsidP="0006461C">
      <w:pPr>
        <w:numPr>
          <w:ilvl w:val="0"/>
          <w:numId w:val="5"/>
        </w:numPr>
        <w:ind w:left="851" w:right="0" w:hanging="550"/>
      </w:pPr>
      <w:r>
        <w:t>20</w:t>
      </w:r>
      <w:r>
        <w:t>點</w:t>
      </w:r>
      <w:r>
        <w:t>)</w:t>
      </w:r>
      <w:r>
        <w:t>者，其申請之醫療費用點數不列入核算基礎</w:t>
      </w:r>
      <w:r>
        <w:t>(A)</w:t>
      </w:r>
      <w:r>
        <w:t>。</w:t>
      </w:r>
      <w:r>
        <w:t xml:space="preserve"> </w:t>
      </w:r>
    </w:p>
    <w:p w:rsidR="00BE552E" w:rsidRDefault="006C605F" w:rsidP="0006461C">
      <w:pPr>
        <w:numPr>
          <w:ilvl w:val="0"/>
          <w:numId w:val="5"/>
        </w:numPr>
        <w:ind w:left="851" w:right="0" w:hanging="550"/>
      </w:pPr>
      <w:r>
        <w:t>「中醫同一院所同一患者同月就診</w:t>
      </w:r>
      <w:r>
        <w:t>8</w:t>
      </w:r>
      <w:r>
        <w:t>次以上比例」超過</w:t>
      </w:r>
      <w:r>
        <w:t>80</w:t>
      </w:r>
      <w:r>
        <w:t>百分位者，核算基礎</w:t>
      </w:r>
      <w:r>
        <w:t>(A)</w:t>
      </w:r>
      <w:r>
        <w:t>減計</w:t>
      </w:r>
      <w:r>
        <w:t>20%</w:t>
      </w:r>
      <w:r>
        <w:t>（</w:t>
      </w:r>
      <w:r w:rsidRPr="0006461C">
        <w:t>註</w:t>
      </w:r>
      <w:r w:rsidRPr="0006461C">
        <w:t>9</w:t>
      </w:r>
      <w:r>
        <w:t>）。</w:t>
      </w:r>
      <w:r>
        <w:t xml:space="preserve"> </w:t>
      </w:r>
    </w:p>
    <w:p w:rsidR="00BE552E" w:rsidRDefault="006C605F" w:rsidP="0006461C">
      <w:pPr>
        <w:numPr>
          <w:ilvl w:val="0"/>
          <w:numId w:val="5"/>
        </w:numPr>
        <w:ind w:left="851" w:right="0" w:hanging="550"/>
      </w:pPr>
      <w:r>
        <w:t>「</w:t>
      </w:r>
      <w:r>
        <w:t>7</w:t>
      </w:r>
      <w:r>
        <w:t>日內處方用藥日數重複</w:t>
      </w:r>
      <w:r>
        <w:t>2</w:t>
      </w:r>
      <w:r>
        <w:t>日以上比率」超過</w:t>
      </w:r>
      <w:r>
        <w:t>80</w:t>
      </w:r>
      <w:r>
        <w:t>百分位者，核算基礎</w:t>
      </w:r>
      <w:r>
        <w:t>(A)</w:t>
      </w:r>
      <w:r>
        <w:t>減計</w:t>
      </w:r>
      <w:r>
        <w:t>10%</w:t>
      </w:r>
      <w:r>
        <w:t>（</w:t>
      </w:r>
      <w:r w:rsidRPr="0006461C">
        <w:t>註</w:t>
      </w:r>
      <w:r w:rsidRPr="0006461C">
        <w:t>10</w:t>
      </w:r>
      <w:r>
        <w:t>）。</w:t>
      </w:r>
      <w:r>
        <w:t xml:space="preserve"> </w:t>
      </w:r>
    </w:p>
    <w:p w:rsidR="00BE552E" w:rsidRDefault="006C605F" w:rsidP="002F4F7F">
      <w:pPr>
        <w:numPr>
          <w:ilvl w:val="0"/>
          <w:numId w:val="5"/>
        </w:numPr>
        <w:ind w:left="851" w:right="0" w:hanging="550"/>
      </w:pPr>
      <w:r>
        <w:t>為促使院所積極提供慢性病照護</w:t>
      </w:r>
      <w:r>
        <w:t>(</w:t>
      </w:r>
      <w:r>
        <w:t>含慢性病連續處方箋</w:t>
      </w:r>
      <w:r>
        <w:t>)</w:t>
      </w:r>
      <w:r>
        <w:t>，中醫門診特約醫事服務機構當年度申報中醫一般案件、中醫慢性病、中醫慢性病連續處方調劑及過敏性鼻炎照護計</w:t>
      </w:r>
      <w:r>
        <w:t>畫中，屬慢性病給藥七天以上之件數占率為</w:t>
      </w:r>
      <w:r>
        <w:t>3%(</w:t>
      </w:r>
      <w:r>
        <w:t>含</w:t>
      </w:r>
      <w:r>
        <w:t>)</w:t>
      </w:r>
      <w:r>
        <w:t>以下者，依核算基礎</w:t>
      </w:r>
      <w:r>
        <w:t>(A)</w:t>
      </w:r>
      <w:r>
        <w:t>減計</w:t>
      </w:r>
      <w:r>
        <w:t>10%</w:t>
      </w:r>
      <w:r>
        <w:t>（</w:t>
      </w:r>
      <w:r w:rsidRPr="0006461C">
        <w:t>註</w:t>
      </w:r>
      <w:r w:rsidRPr="0006461C">
        <w:t>11</w:t>
      </w:r>
      <w:r>
        <w:t>）。</w:t>
      </w:r>
      <w:r>
        <w:t xml:space="preserve"> </w:t>
      </w:r>
    </w:p>
    <w:p w:rsidR="00BE552E" w:rsidRDefault="006C605F">
      <w:pPr>
        <w:ind w:left="587" w:right="0" w:hanging="602"/>
      </w:pPr>
      <w:r>
        <w:t>拾、本方案由保險人與中醫全聯會共同研訂後，報請主管機關核定後公告實施，並副知健保會。屬執行面之規定，由保險人逕行修正公告。</w:t>
      </w:r>
      <w:r>
        <w:t xml:space="preserve"> </w:t>
      </w:r>
    </w:p>
    <w:p w:rsidR="00BE552E" w:rsidRDefault="00BE552E">
      <w:pPr>
        <w:sectPr w:rsidR="00BE552E">
          <w:footerReference w:type="even" r:id="rId7"/>
          <w:footerReference w:type="default" r:id="rId8"/>
          <w:footerReference w:type="first" r:id="rId9"/>
          <w:pgSz w:w="11906" w:h="16838"/>
          <w:pgMar w:top="1310" w:right="1343" w:bottom="1192" w:left="1419" w:header="720" w:footer="438" w:gutter="0"/>
          <w:cols w:space="720"/>
        </w:sectPr>
      </w:pPr>
    </w:p>
    <w:p w:rsidR="00BE552E" w:rsidRDefault="006C605F">
      <w:pPr>
        <w:ind w:left="-5" w:right="0"/>
      </w:pPr>
      <w:r>
        <w:t>中醫門診總額品質保證保留款實施方案各項指標操作定義</w:t>
      </w:r>
      <w:r>
        <w:t xml:space="preserve"> </w:t>
      </w:r>
    </w:p>
    <w:p w:rsidR="00BE552E" w:rsidRDefault="006C605F">
      <w:pPr>
        <w:ind w:left="1799" w:right="0"/>
      </w:pPr>
      <w:r>
        <w:rPr>
          <w:strike/>
        </w:rPr>
        <w:t>-</w:t>
      </w:r>
      <w:r>
        <w:t>適用範圍含醫院附設中醫部門</w:t>
      </w:r>
      <w:r>
        <w:t xml:space="preserve"> </w:t>
      </w:r>
    </w:p>
    <w:tbl>
      <w:tblPr>
        <w:tblStyle w:val="TableGrid"/>
        <w:tblW w:w="9643" w:type="dxa"/>
        <w:tblInd w:w="-956" w:type="dxa"/>
        <w:tblCellMar>
          <w:top w:w="80" w:type="dxa"/>
          <w:left w:w="17" w:type="dxa"/>
          <w:bottom w:w="0" w:type="dxa"/>
          <w:right w:w="0" w:type="dxa"/>
        </w:tblCellMar>
        <w:tblLook w:val="04A0" w:firstRow="1" w:lastRow="0" w:firstColumn="1" w:lastColumn="0" w:noHBand="0" w:noVBand="1"/>
      </w:tblPr>
      <w:tblGrid>
        <w:gridCol w:w="3618"/>
        <w:gridCol w:w="6025"/>
      </w:tblGrid>
      <w:tr w:rsidR="00BE552E">
        <w:trPr>
          <w:trHeight w:val="487"/>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20" w:firstLine="0"/>
              <w:jc w:val="center"/>
            </w:pPr>
            <w:r>
              <w:t>指標項目</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20" w:firstLine="0"/>
              <w:jc w:val="center"/>
            </w:pPr>
            <w:r>
              <w:t>操作型定義</w:t>
            </w:r>
            <w:r>
              <w:t xml:space="preserve"> </w:t>
            </w:r>
          </w:p>
        </w:tc>
      </w:tr>
      <w:tr w:rsidR="00BE552E">
        <w:trPr>
          <w:trHeight w:val="818"/>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2" w:right="0" w:firstLine="0"/>
            </w:pPr>
            <w:r>
              <w:t>註</w:t>
            </w:r>
            <w:r>
              <w:t>1</w:t>
            </w:r>
            <w:r>
              <w:t>：年平均核付率</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0" w:firstLine="223"/>
              <w:jc w:val="both"/>
            </w:pPr>
            <w:r>
              <w:t>(</w:t>
            </w:r>
            <w:r>
              <w:t>全年初核核定點數</w:t>
            </w:r>
            <w:r>
              <w:t>)/(</w:t>
            </w:r>
            <w:r>
              <w:t>全年申請點數</w:t>
            </w:r>
            <w:r>
              <w:t>+</w:t>
            </w:r>
            <w:r>
              <w:t>部分負擔</w:t>
            </w:r>
            <w:r>
              <w:t xml:space="preserve">) </w:t>
            </w:r>
          </w:p>
        </w:tc>
      </w:tr>
      <w:tr w:rsidR="00BE552E">
        <w:trPr>
          <w:trHeight w:val="2422"/>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833" w:right="0" w:hanging="831"/>
            </w:pPr>
            <w:r>
              <w:t>註</w:t>
            </w:r>
            <w:r>
              <w:t>2</w:t>
            </w:r>
            <w:r>
              <w:t>：當年度在前一年</w:t>
            </w:r>
            <w:r>
              <w:t xml:space="preserve">12 </w:t>
            </w:r>
            <w:r>
              <w:t>月每萬人口中醫師數</w:t>
            </w:r>
            <w:r>
              <w:t>3.0(</w:t>
            </w:r>
            <w:r>
              <w:t>含</w:t>
            </w:r>
            <w:r>
              <w:t>)</w:t>
            </w:r>
            <w:r>
              <w:t>以上之鄉鎮市區新設立中醫門診特約醫事服務機構。</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2" w:right="0" w:firstLine="0"/>
            </w:pPr>
            <w:r>
              <w:t>資料範圍：以前一年</w:t>
            </w:r>
            <w:r>
              <w:t>12</w:t>
            </w:r>
            <w:r>
              <w:t>月「內政部戶政司戶籍人口數」及「醫事人員公務統計檔」計算之。</w:t>
            </w:r>
            <w:r>
              <w:t xml:space="preserve"> </w:t>
            </w:r>
          </w:p>
        </w:tc>
      </w:tr>
      <w:tr w:rsidR="00BE552E">
        <w:trPr>
          <w:trHeight w:val="1718"/>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2" w:right="0" w:firstLine="0"/>
            </w:pPr>
            <w:r>
              <w:t>註</w:t>
            </w:r>
            <w:r>
              <w:t>3</w:t>
            </w:r>
            <w:r>
              <w:t>：年平均核減率</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2" w:line="230" w:lineRule="auto"/>
              <w:ind w:left="2" w:right="0" w:firstLine="0"/>
            </w:pPr>
            <w:r>
              <w:t>(</w:t>
            </w:r>
            <w:r>
              <w:t>全年複核核減點數</w:t>
            </w:r>
            <w:r>
              <w:t>)/(</w:t>
            </w:r>
            <w:r>
              <w:t>全年申請點數</w:t>
            </w:r>
            <w:r>
              <w:t>+</w:t>
            </w:r>
            <w:r>
              <w:t>部分負擔</w:t>
            </w:r>
            <w:r>
              <w:t xml:space="preserve">) </w:t>
            </w:r>
          </w:p>
          <w:p w:rsidR="00BE552E" w:rsidRDefault="006C605F">
            <w:pPr>
              <w:spacing w:after="0" w:line="259" w:lineRule="auto"/>
              <w:ind w:left="2" w:right="0" w:firstLine="0"/>
            </w:pPr>
            <w:r>
              <w:t>[</w:t>
            </w:r>
            <w:r>
              <w:t>註</w:t>
            </w:r>
            <w:r>
              <w:t>]</w:t>
            </w:r>
            <w:r>
              <w:t>未完成複核月份以初核核減率計算，截取時間點為次年</w:t>
            </w:r>
            <w:r>
              <w:t>2</w:t>
            </w:r>
            <w:r>
              <w:t>月底</w:t>
            </w:r>
            <w:r>
              <w:t>(</w:t>
            </w:r>
            <w:r>
              <w:t>傳票日期</w:t>
            </w:r>
            <w:r>
              <w:t>)</w:t>
            </w:r>
            <w:r>
              <w:t>前。</w:t>
            </w:r>
            <w:r>
              <w:t xml:space="preserve"> </w:t>
            </w:r>
          </w:p>
        </w:tc>
      </w:tr>
      <w:tr w:rsidR="00BE552E">
        <w:trPr>
          <w:trHeight w:val="449"/>
        </w:trPr>
        <w:tc>
          <w:tcPr>
            <w:tcW w:w="3618"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0" w:line="232" w:lineRule="auto"/>
              <w:ind w:left="74" w:right="142" w:hanging="74"/>
              <w:jc w:val="right"/>
            </w:pPr>
            <w:r>
              <w:t>註</w:t>
            </w:r>
            <w:r>
              <w:t>4</w:t>
            </w:r>
            <w:r>
              <w:t>：中醫門診特約醫事服務機構於每年週日看診超過</w:t>
            </w:r>
            <w:r>
              <w:t>30</w:t>
            </w:r>
            <w:r>
              <w:t>天及</w:t>
            </w:r>
          </w:p>
          <w:p w:rsidR="00BE552E" w:rsidRDefault="006C605F">
            <w:pPr>
              <w:spacing w:after="0" w:line="259" w:lineRule="auto"/>
              <w:ind w:left="0" w:right="329" w:firstLine="0"/>
              <w:jc w:val="center"/>
            </w:pPr>
            <w:r>
              <w:t>45</w:t>
            </w:r>
            <w:r>
              <w:t>天以上者</w:t>
            </w:r>
            <w:r>
              <w:t xml:space="preserve"> </w:t>
            </w:r>
          </w:p>
        </w:tc>
        <w:tc>
          <w:tcPr>
            <w:tcW w:w="6025"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2" w:right="0" w:firstLine="0"/>
            </w:pPr>
            <w:r>
              <w:t>以門診申報資料之「就醫日期」認定週日是否看診，含同一療程。</w:t>
            </w:r>
            <w:r>
              <w:t xml:space="preserve"> </w:t>
            </w:r>
          </w:p>
        </w:tc>
      </w:tr>
      <w:tr w:rsidR="00BE552E">
        <w:trPr>
          <w:trHeight w:val="1295"/>
        </w:trPr>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r>
      <w:tr w:rsidR="00BE552E">
        <w:trPr>
          <w:trHeight w:val="449"/>
        </w:trPr>
        <w:tc>
          <w:tcPr>
            <w:tcW w:w="3618"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2" w:line="230" w:lineRule="auto"/>
              <w:ind w:left="979" w:right="0" w:hanging="977"/>
            </w:pPr>
            <w:r>
              <w:t>註</w:t>
            </w:r>
            <w:r>
              <w:t>5</w:t>
            </w:r>
            <w:r>
              <w:t>：「每月完成門診時間網路登錄」</w:t>
            </w:r>
            <w:r>
              <w:t xml:space="preserve"> </w:t>
            </w:r>
          </w:p>
          <w:p w:rsidR="00BE552E" w:rsidRDefault="006C605F">
            <w:pPr>
              <w:spacing w:after="0" w:line="259" w:lineRule="auto"/>
              <w:ind w:left="2" w:right="0" w:firstLine="0"/>
            </w:pPr>
            <w:r>
              <w:t xml:space="preserve"> </w:t>
            </w:r>
          </w:p>
        </w:tc>
        <w:tc>
          <w:tcPr>
            <w:tcW w:w="6025"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2" w:line="230" w:lineRule="auto"/>
              <w:ind w:left="0" w:right="-53" w:firstLine="0"/>
              <w:jc w:val="center"/>
            </w:pPr>
            <w:r>
              <w:t>院所全年每月於</w:t>
            </w:r>
            <w:r>
              <w:t>VPN</w:t>
            </w:r>
            <w:r>
              <w:t>之「保險人看診資料及掛號費維護」介面完成次月門診時間登錄。</w:t>
            </w:r>
          </w:p>
          <w:p w:rsidR="00BE552E" w:rsidRDefault="006C605F">
            <w:pPr>
              <w:spacing w:after="0" w:line="259" w:lineRule="auto"/>
              <w:ind w:left="645" w:right="-56" w:hanging="643"/>
            </w:pPr>
            <w:r>
              <w:t>[</w:t>
            </w:r>
            <w:r>
              <w:t>註</w:t>
            </w:r>
            <w:r>
              <w:t>]</w:t>
            </w:r>
            <w:r>
              <w:t>若有異動者須修訂看診起日及時段並儲存，無異動者僅須點選「儲存」後，會自動完成登錄註記。</w:t>
            </w:r>
            <w:r>
              <w:t>(</w:t>
            </w:r>
            <w:r>
              <w:t>院所可於</w:t>
            </w:r>
            <w:r>
              <w:t>VPN</w:t>
            </w:r>
            <w:r>
              <w:t>系統「上次登錄日期」判斷上個月是否完成登錄</w:t>
            </w:r>
            <w:r>
              <w:t xml:space="preserve">) </w:t>
            </w:r>
            <w:r>
              <w:t>。</w:t>
            </w:r>
            <w:r>
              <w:t xml:space="preserve"> </w:t>
            </w:r>
          </w:p>
        </w:tc>
      </w:tr>
      <w:tr w:rsidR="00BE552E">
        <w:trPr>
          <w:trHeight w:val="2516"/>
        </w:trPr>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r>
      <w:tr w:rsidR="00BE552E">
        <w:trPr>
          <w:trHeight w:val="2209"/>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857" w:right="0" w:hanging="835"/>
            </w:pPr>
            <w:r>
              <w:rPr>
                <w:u w:val="single" w:color="000000"/>
              </w:rPr>
              <w:t>註</w:t>
            </w:r>
            <w:r>
              <w:rPr>
                <w:u w:val="single" w:color="000000"/>
              </w:rPr>
              <w:t>6</w:t>
            </w:r>
            <w:r>
              <w:rPr>
                <w:u w:val="single" w:color="000000"/>
              </w:rPr>
              <w:t>：參與「全民健康保險中醫門診總額醫療資源不足地區改善方案」院所核算基礎加計</w:t>
            </w:r>
            <w:r>
              <w:rPr>
                <w:u w:val="single" w:color="000000"/>
              </w:rPr>
              <w:t>_10_%</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2" w:righ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12192</wp:posOffset>
                      </wp:positionH>
                      <wp:positionV relativeFrom="paragraph">
                        <wp:posOffset>195840</wp:posOffset>
                      </wp:positionV>
                      <wp:extent cx="3656711" cy="520064"/>
                      <wp:effectExtent l="0" t="0" r="0" b="0"/>
                      <wp:wrapNone/>
                      <wp:docPr id="19338" name="Group 19338"/>
                      <wp:cNvGraphicFramePr/>
                      <a:graphic xmlns:a="http://schemas.openxmlformats.org/drawingml/2006/main">
                        <a:graphicData uri="http://schemas.microsoft.com/office/word/2010/wordprocessingGroup">
                          <wpg:wgp>
                            <wpg:cNvGrpSpPr/>
                            <wpg:grpSpPr>
                              <a:xfrm>
                                <a:off x="0" y="0"/>
                                <a:ext cx="3656711" cy="520064"/>
                                <a:chOff x="0" y="0"/>
                                <a:chExt cx="3656711" cy="520064"/>
                              </a:xfrm>
                            </wpg:grpSpPr>
                            <wps:wsp>
                              <wps:cNvPr id="21916" name="Shape 21916"/>
                              <wps:cNvSpPr/>
                              <wps:spPr>
                                <a:xfrm>
                                  <a:off x="0" y="0"/>
                                  <a:ext cx="3656711" cy="10668"/>
                                </a:xfrm>
                                <a:custGeom>
                                  <a:avLst/>
                                  <a:gdLst/>
                                  <a:ahLst/>
                                  <a:cxnLst/>
                                  <a:rect l="0" t="0" r="0" b="0"/>
                                  <a:pathLst>
                                    <a:path w="3656711" h="10668">
                                      <a:moveTo>
                                        <a:pt x="0" y="0"/>
                                      </a:moveTo>
                                      <a:lnTo>
                                        <a:pt x="3656711" y="0"/>
                                      </a:lnTo>
                                      <a:lnTo>
                                        <a:pt x="365671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17" name="Shape 21917"/>
                              <wps:cNvSpPr/>
                              <wps:spPr>
                                <a:xfrm>
                                  <a:off x="0" y="254508"/>
                                  <a:ext cx="3454020" cy="10668"/>
                                </a:xfrm>
                                <a:custGeom>
                                  <a:avLst/>
                                  <a:gdLst/>
                                  <a:ahLst/>
                                  <a:cxnLst/>
                                  <a:rect l="0" t="0" r="0" b="0"/>
                                  <a:pathLst>
                                    <a:path w="3454020" h="10668">
                                      <a:moveTo>
                                        <a:pt x="0" y="0"/>
                                      </a:moveTo>
                                      <a:lnTo>
                                        <a:pt x="3454020" y="0"/>
                                      </a:lnTo>
                                      <a:lnTo>
                                        <a:pt x="345402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18" name="Shape 21918"/>
                              <wps:cNvSpPr/>
                              <wps:spPr>
                                <a:xfrm>
                                  <a:off x="0" y="509397"/>
                                  <a:ext cx="1016813" cy="10668"/>
                                </a:xfrm>
                                <a:custGeom>
                                  <a:avLst/>
                                  <a:gdLst/>
                                  <a:ahLst/>
                                  <a:cxnLst/>
                                  <a:rect l="0" t="0" r="0" b="0"/>
                                  <a:pathLst>
                                    <a:path w="1016813" h="10668">
                                      <a:moveTo>
                                        <a:pt x="0" y="0"/>
                                      </a:moveTo>
                                      <a:lnTo>
                                        <a:pt x="1016813" y="0"/>
                                      </a:lnTo>
                                      <a:lnTo>
                                        <a:pt x="10168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338" style="width:287.93pt;height:40.95pt;position:absolute;z-index:-2147483414;mso-position-horizontal-relative:text;mso-position-horizontal:absolute;margin-left:0.960007pt;mso-position-vertical-relative:text;margin-top:15.4205pt;" coordsize="36567,5200">
                      <v:shape id="Shape 21919" style="position:absolute;width:36567;height:106;left:0;top:0;" coordsize="3656711,10668" path="m0,0l3656711,0l3656711,10668l0,10668l0,0">
                        <v:stroke weight="0pt" endcap="flat" joinstyle="miter" miterlimit="10" on="false" color="#000000" opacity="0"/>
                        <v:fill on="true" color="#000000"/>
                      </v:shape>
                      <v:shape id="Shape 21920" style="position:absolute;width:34540;height:106;left:0;top:2545;" coordsize="3454020,10668" path="m0,0l3454020,0l3454020,10668l0,10668l0,0">
                        <v:stroke weight="0pt" endcap="flat" joinstyle="miter" miterlimit="10" on="false" color="#000000" opacity="0"/>
                        <v:fill on="true" color="#000000"/>
                      </v:shape>
                      <v:shape id="Shape 21921" style="position:absolute;width:10168;height:106;left:0;top:5093;" coordsize="1016813,10668" path="m0,0l1016813,0l1016813,10668l0,10668l0,0">
                        <v:stroke weight="0pt" endcap="flat" joinstyle="miter" miterlimit="10" on="false" color="#000000" opacity="0"/>
                        <v:fill on="true" color="#000000"/>
                      </v:shape>
                    </v:group>
                  </w:pict>
                </mc:Fallback>
              </mc:AlternateContent>
            </w:r>
            <w:r>
              <w:t>資料範圍：當年度曾參與「全民健康保險中醫門診總額醫療資源不足地區改善方案」院所。</w:t>
            </w:r>
            <w:r>
              <w:t xml:space="preserve"> </w:t>
            </w:r>
          </w:p>
        </w:tc>
      </w:tr>
    </w:tbl>
    <w:p w:rsidR="00BE552E" w:rsidRDefault="00BE552E">
      <w:pPr>
        <w:spacing w:after="0" w:line="259" w:lineRule="auto"/>
        <w:ind w:left="-2091" w:right="138" w:firstLine="0"/>
      </w:pPr>
    </w:p>
    <w:tbl>
      <w:tblPr>
        <w:tblStyle w:val="TableGrid"/>
        <w:tblW w:w="9643" w:type="dxa"/>
        <w:tblInd w:w="-956" w:type="dxa"/>
        <w:tblCellMar>
          <w:top w:w="80" w:type="dxa"/>
          <w:left w:w="19" w:type="dxa"/>
          <w:bottom w:w="0" w:type="dxa"/>
          <w:right w:w="23" w:type="dxa"/>
        </w:tblCellMar>
        <w:tblLook w:val="04A0" w:firstRow="1" w:lastRow="0" w:firstColumn="1" w:lastColumn="0" w:noHBand="0" w:noVBand="1"/>
      </w:tblPr>
      <w:tblGrid>
        <w:gridCol w:w="3618"/>
        <w:gridCol w:w="6025"/>
      </w:tblGrid>
      <w:tr w:rsidR="00BE552E">
        <w:trPr>
          <w:trHeight w:val="485"/>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1" w:right="0" w:firstLine="0"/>
              <w:jc w:val="center"/>
            </w:pPr>
            <w:r>
              <w:t>指標項目</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1" w:right="0" w:firstLine="0"/>
              <w:jc w:val="center"/>
            </w:pPr>
            <w:r>
              <w:t>操作型定義</w:t>
            </w:r>
            <w:r>
              <w:t xml:space="preserve"> </w:t>
            </w:r>
          </w:p>
        </w:tc>
      </w:tr>
      <w:tr w:rsidR="00BE552E">
        <w:trPr>
          <w:trHeight w:val="397"/>
        </w:trPr>
        <w:tc>
          <w:tcPr>
            <w:tcW w:w="3618"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855" w:right="0" w:hanging="835"/>
            </w:pPr>
            <w:r>
              <w:rPr>
                <w:u w:val="single" w:color="000000"/>
              </w:rPr>
              <w:t>註</w:t>
            </w:r>
            <w:r>
              <w:rPr>
                <w:u w:val="single" w:color="000000"/>
              </w:rPr>
              <w:t>7</w:t>
            </w:r>
            <w:r>
              <w:rPr>
                <w:u w:val="single" w:color="000000"/>
              </w:rPr>
              <w:t>：參與「全民健康保險中醫門診總額照護機構中醫醫療照護方案」核算基礎加計</w:t>
            </w:r>
            <w:r>
              <w:rPr>
                <w:u w:val="single" w:color="000000"/>
              </w:rPr>
              <w:t>_5 %</w:t>
            </w:r>
            <w:r>
              <w:t xml:space="preserve"> </w:t>
            </w:r>
          </w:p>
        </w:tc>
        <w:tc>
          <w:tcPr>
            <w:tcW w:w="6025" w:type="dxa"/>
            <w:tcBorders>
              <w:top w:val="single" w:sz="4" w:space="0" w:color="000000"/>
              <w:left w:val="single" w:sz="4" w:space="0" w:color="000000"/>
              <w:bottom w:val="single" w:sz="7" w:space="0" w:color="000000"/>
              <w:right w:val="single" w:sz="4" w:space="0" w:color="000000"/>
            </w:tcBorders>
          </w:tcPr>
          <w:p w:rsidR="00BE552E" w:rsidRDefault="006C605F">
            <w:pPr>
              <w:spacing w:after="0" w:line="259" w:lineRule="auto"/>
              <w:ind w:left="0" w:right="0" w:firstLine="0"/>
              <w:jc w:val="both"/>
            </w:pPr>
            <w:r>
              <w:t>資料範圍：當年度曾參與「全民健康保險中</w:t>
            </w:r>
          </w:p>
        </w:tc>
      </w:tr>
      <w:tr w:rsidR="00BE552E">
        <w:trPr>
          <w:trHeight w:val="401"/>
        </w:trPr>
        <w:tc>
          <w:tcPr>
            <w:tcW w:w="0" w:type="auto"/>
            <w:vMerge/>
            <w:tcBorders>
              <w:top w:val="nil"/>
              <w:left w:val="single" w:sz="4" w:space="0" w:color="000000"/>
              <w:bottom w:val="nil"/>
              <w:right w:val="single" w:sz="4" w:space="0" w:color="000000"/>
            </w:tcBorders>
          </w:tcPr>
          <w:p w:rsidR="00BE552E" w:rsidRDefault="00BE552E">
            <w:pPr>
              <w:spacing w:after="160" w:line="259" w:lineRule="auto"/>
              <w:ind w:left="0" w:right="0" w:firstLine="0"/>
            </w:pPr>
          </w:p>
        </w:tc>
        <w:tc>
          <w:tcPr>
            <w:tcW w:w="6025" w:type="dxa"/>
            <w:tcBorders>
              <w:top w:val="single" w:sz="7" w:space="0" w:color="000000"/>
              <w:left w:val="single" w:sz="4" w:space="0" w:color="000000"/>
              <w:bottom w:val="single" w:sz="7" w:space="0" w:color="000000"/>
              <w:right w:val="single" w:sz="4" w:space="0" w:color="000000"/>
            </w:tcBorders>
          </w:tcPr>
          <w:p w:rsidR="00BE552E" w:rsidRDefault="006C605F">
            <w:pPr>
              <w:spacing w:after="0" w:line="259" w:lineRule="auto"/>
              <w:ind w:left="0" w:right="0" w:firstLine="0"/>
              <w:jc w:val="both"/>
            </w:pPr>
            <w:r>
              <w:t>醫門診總額照護機構中醫醫療照護方案」院</w:t>
            </w:r>
          </w:p>
        </w:tc>
      </w:tr>
      <w:tr w:rsidR="00BE552E">
        <w:trPr>
          <w:trHeight w:val="1321"/>
        </w:trPr>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6025" w:type="dxa"/>
            <w:tcBorders>
              <w:top w:val="single" w:sz="7" w:space="0" w:color="000000"/>
              <w:left w:val="single" w:sz="4" w:space="0" w:color="000000"/>
              <w:bottom w:val="single" w:sz="4" w:space="0" w:color="000000"/>
              <w:right w:val="single" w:sz="4" w:space="0" w:color="000000"/>
            </w:tcBorders>
          </w:tcPr>
          <w:p w:rsidR="00BE552E" w:rsidRDefault="006C605F">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12192</wp:posOffset>
                      </wp:positionH>
                      <wp:positionV relativeFrom="paragraph">
                        <wp:posOffset>195839</wp:posOffset>
                      </wp:positionV>
                      <wp:extent cx="406908" cy="10668"/>
                      <wp:effectExtent l="0" t="0" r="0" b="0"/>
                      <wp:wrapNone/>
                      <wp:docPr id="17424" name="Group 17424"/>
                      <wp:cNvGraphicFramePr/>
                      <a:graphic xmlns:a="http://schemas.openxmlformats.org/drawingml/2006/main">
                        <a:graphicData uri="http://schemas.microsoft.com/office/word/2010/wordprocessingGroup">
                          <wpg:wgp>
                            <wpg:cNvGrpSpPr/>
                            <wpg:grpSpPr>
                              <a:xfrm>
                                <a:off x="0" y="0"/>
                                <a:ext cx="406908" cy="10668"/>
                                <a:chOff x="0" y="0"/>
                                <a:chExt cx="406908" cy="10668"/>
                              </a:xfrm>
                            </wpg:grpSpPr>
                            <wps:wsp>
                              <wps:cNvPr id="21922" name="Shape 21922"/>
                              <wps:cNvSpPr/>
                              <wps:spPr>
                                <a:xfrm>
                                  <a:off x="0" y="0"/>
                                  <a:ext cx="406908" cy="10668"/>
                                </a:xfrm>
                                <a:custGeom>
                                  <a:avLst/>
                                  <a:gdLst/>
                                  <a:ahLst/>
                                  <a:cxnLst/>
                                  <a:rect l="0" t="0" r="0" b="0"/>
                                  <a:pathLst>
                                    <a:path w="406908" h="10668">
                                      <a:moveTo>
                                        <a:pt x="0" y="0"/>
                                      </a:moveTo>
                                      <a:lnTo>
                                        <a:pt x="406908" y="0"/>
                                      </a:lnTo>
                                      <a:lnTo>
                                        <a:pt x="40690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24" style="width:32.04pt;height:0.840027pt;position:absolute;z-index:-2147483600;mso-position-horizontal-relative:text;mso-position-horizontal:absolute;margin-left:0.960007pt;mso-position-vertical-relative:text;margin-top:15.4204pt;" coordsize="4069,106">
                      <v:shape id="Shape 21923" style="position:absolute;width:4069;height:106;left:0;top:0;" coordsize="406908,10668" path="m0,0l406908,0l406908,10668l0,10668l0,0">
                        <v:stroke weight="0pt" endcap="flat" joinstyle="miter" miterlimit="10" on="false" color="#000000" opacity="0"/>
                        <v:fill on="true" color="#000000"/>
                      </v:shape>
                    </v:group>
                  </w:pict>
                </mc:Fallback>
              </mc:AlternateContent>
            </w:r>
            <w:r>
              <w:t>所。</w:t>
            </w:r>
            <w:r>
              <w:t xml:space="preserve"> </w:t>
            </w:r>
          </w:p>
        </w:tc>
      </w:tr>
      <w:tr w:rsidR="00BE552E">
        <w:trPr>
          <w:trHeight w:val="397"/>
        </w:trPr>
        <w:tc>
          <w:tcPr>
            <w:tcW w:w="3618"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855" w:right="0" w:hanging="835"/>
            </w:pPr>
            <w:r>
              <w:rPr>
                <w:u w:val="single" w:color="000000"/>
              </w:rPr>
              <w:t>註</w:t>
            </w:r>
            <w:r>
              <w:rPr>
                <w:u w:val="single" w:color="000000"/>
              </w:rPr>
              <w:t>8</w:t>
            </w:r>
            <w:r>
              <w:rPr>
                <w:u w:val="single" w:color="000000"/>
              </w:rPr>
              <w:t>：「全民健康保險居家醫療照護整合計畫」院所核算基礎加計</w:t>
            </w:r>
            <w:r>
              <w:rPr>
                <w:u w:val="single" w:color="000000"/>
              </w:rPr>
              <w:t>_5 %</w:t>
            </w:r>
            <w:r>
              <w:t xml:space="preserve"> </w:t>
            </w:r>
          </w:p>
        </w:tc>
        <w:tc>
          <w:tcPr>
            <w:tcW w:w="6025" w:type="dxa"/>
            <w:tcBorders>
              <w:top w:val="single" w:sz="4" w:space="0" w:color="000000"/>
              <w:left w:val="single" w:sz="4" w:space="0" w:color="000000"/>
              <w:bottom w:val="single" w:sz="7" w:space="0" w:color="000000"/>
              <w:right w:val="single" w:sz="4" w:space="0" w:color="000000"/>
            </w:tcBorders>
          </w:tcPr>
          <w:p w:rsidR="00BE552E" w:rsidRDefault="006C605F">
            <w:pPr>
              <w:spacing w:after="0" w:line="259" w:lineRule="auto"/>
              <w:ind w:left="0" w:right="0" w:firstLine="0"/>
              <w:jc w:val="both"/>
            </w:pPr>
            <w:r>
              <w:t>資料範圍：當年度曾參與「居家醫療照護整</w:t>
            </w:r>
          </w:p>
        </w:tc>
      </w:tr>
      <w:tr w:rsidR="00BE552E">
        <w:trPr>
          <w:trHeight w:val="1223"/>
        </w:trPr>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6025" w:type="dxa"/>
            <w:tcBorders>
              <w:top w:val="single" w:sz="7" w:space="0" w:color="000000"/>
              <w:left w:val="single" w:sz="4" w:space="0" w:color="000000"/>
              <w:bottom w:val="single" w:sz="4" w:space="0" w:color="000000"/>
              <w:right w:val="single" w:sz="4" w:space="0" w:color="000000"/>
            </w:tcBorders>
          </w:tcPr>
          <w:p w:rsidR="00BE552E" w:rsidRDefault="006C605F">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12192</wp:posOffset>
                      </wp:positionH>
                      <wp:positionV relativeFrom="paragraph">
                        <wp:posOffset>195840</wp:posOffset>
                      </wp:positionV>
                      <wp:extent cx="1422146" cy="10668"/>
                      <wp:effectExtent l="0" t="0" r="0" b="0"/>
                      <wp:wrapNone/>
                      <wp:docPr id="17455" name="Group 17455"/>
                      <wp:cNvGraphicFramePr/>
                      <a:graphic xmlns:a="http://schemas.openxmlformats.org/drawingml/2006/main">
                        <a:graphicData uri="http://schemas.microsoft.com/office/word/2010/wordprocessingGroup">
                          <wpg:wgp>
                            <wpg:cNvGrpSpPr/>
                            <wpg:grpSpPr>
                              <a:xfrm>
                                <a:off x="0" y="0"/>
                                <a:ext cx="1422146" cy="10668"/>
                                <a:chOff x="0" y="0"/>
                                <a:chExt cx="1422146" cy="10668"/>
                              </a:xfrm>
                            </wpg:grpSpPr>
                            <wps:wsp>
                              <wps:cNvPr id="21924" name="Shape 21924"/>
                              <wps:cNvSpPr/>
                              <wps:spPr>
                                <a:xfrm>
                                  <a:off x="0" y="0"/>
                                  <a:ext cx="1422146" cy="10668"/>
                                </a:xfrm>
                                <a:custGeom>
                                  <a:avLst/>
                                  <a:gdLst/>
                                  <a:ahLst/>
                                  <a:cxnLst/>
                                  <a:rect l="0" t="0" r="0" b="0"/>
                                  <a:pathLst>
                                    <a:path w="1422146" h="10668">
                                      <a:moveTo>
                                        <a:pt x="0" y="0"/>
                                      </a:moveTo>
                                      <a:lnTo>
                                        <a:pt x="1422146" y="0"/>
                                      </a:lnTo>
                                      <a:lnTo>
                                        <a:pt x="142214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55" style="width:111.98pt;height:0.840027pt;position:absolute;z-index:-2147483566;mso-position-horizontal-relative:text;mso-position-horizontal:absolute;margin-left:0.960007pt;mso-position-vertical-relative:text;margin-top:15.4205pt;" coordsize="14221,106">
                      <v:shape id="Shape 21925" style="position:absolute;width:14221;height:106;left:0;top:0;" coordsize="1422146,10668" path="m0,0l1422146,0l1422146,10668l0,10668l0,0">
                        <v:stroke weight="0pt" endcap="flat" joinstyle="miter" miterlimit="10" on="false" color="#000000" opacity="0"/>
                        <v:fill on="true" color="#000000"/>
                      </v:shape>
                    </v:group>
                  </w:pict>
                </mc:Fallback>
              </mc:AlternateContent>
            </w:r>
            <w:r>
              <w:t>合計畫」院所。</w:t>
            </w:r>
            <w:r>
              <w:t xml:space="preserve"> </w:t>
            </w:r>
          </w:p>
        </w:tc>
      </w:tr>
      <w:tr w:rsidR="00BE552E">
        <w:trPr>
          <w:trHeight w:val="449"/>
        </w:trPr>
        <w:tc>
          <w:tcPr>
            <w:tcW w:w="3618"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0" w:line="232" w:lineRule="auto"/>
              <w:ind w:left="804" w:right="0" w:hanging="804"/>
            </w:pPr>
            <w:r>
              <w:t>註</w:t>
            </w:r>
            <w:r>
              <w:t>9</w:t>
            </w:r>
            <w:r>
              <w:t>：「中醫同一院所同一患者同月就診</w:t>
            </w:r>
            <w:r>
              <w:t>8</w:t>
            </w:r>
            <w:r>
              <w:t>次以上比例」</w:t>
            </w:r>
            <w:r>
              <w:t xml:space="preserve"> </w:t>
            </w:r>
          </w:p>
          <w:p w:rsidR="00BE552E" w:rsidRDefault="006C605F">
            <w:pPr>
              <w:spacing w:after="0" w:line="259" w:lineRule="auto"/>
              <w:ind w:left="420" w:right="0" w:firstLine="0"/>
            </w:pPr>
            <w:r>
              <w:t xml:space="preserve"> </w:t>
            </w:r>
          </w:p>
        </w:tc>
        <w:tc>
          <w:tcPr>
            <w:tcW w:w="6025" w:type="dxa"/>
            <w:vMerge w:val="restart"/>
            <w:tcBorders>
              <w:top w:val="single" w:sz="4" w:space="0" w:color="000000"/>
              <w:left w:val="single" w:sz="4" w:space="0" w:color="000000"/>
              <w:bottom w:val="single" w:sz="4" w:space="0" w:color="000000"/>
              <w:right w:val="single" w:sz="4" w:space="0" w:color="000000"/>
            </w:tcBorders>
          </w:tcPr>
          <w:p w:rsidR="00BE552E" w:rsidRDefault="006C605F">
            <w:pPr>
              <w:numPr>
                <w:ilvl w:val="0"/>
                <w:numId w:val="7"/>
              </w:numPr>
              <w:spacing w:after="29" w:line="234" w:lineRule="auto"/>
              <w:ind w:right="0" w:hanging="360"/>
            </w:pPr>
            <w:r>
              <w:t>分母：全年同一院所、同月看診總人數加總。</w:t>
            </w:r>
            <w:r>
              <w:t xml:space="preserve"> </w:t>
            </w:r>
          </w:p>
          <w:p w:rsidR="00BE552E" w:rsidRDefault="006C605F">
            <w:pPr>
              <w:numPr>
                <w:ilvl w:val="0"/>
                <w:numId w:val="7"/>
              </w:numPr>
              <w:spacing w:after="32" w:line="232" w:lineRule="auto"/>
              <w:ind w:right="0" w:hanging="360"/>
            </w:pPr>
            <w:r>
              <w:t>分子：全年同一院所、同一病人、同月看診次數</w:t>
            </w:r>
            <w:r>
              <w:t>8</w:t>
            </w:r>
            <w:r>
              <w:t>次（含）以上人數加總。</w:t>
            </w:r>
            <w:r>
              <w:t xml:space="preserve"> </w:t>
            </w:r>
          </w:p>
          <w:p w:rsidR="00BE552E" w:rsidRDefault="006C605F">
            <w:pPr>
              <w:numPr>
                <w:ilvl w:val="0"/>
                <w:numId w:val="7"/>
              </w:numPr>
              <w:spacing w:after="0" w:line="259" w:lineRule="auto"/>
              <w:ind w:right="0" w:hanging="360"/>
            </w:pPr>
            <w:r>
              <w:t>指標計算</w:t>
            </w:r>
            <w:r>
              <w:t>(S)</w:t>
            </w:r>
            <w:r>
              <w:t>：分子總和</w:t>
            </w:r>
            <w:r>
              <w:t xml:space="preserve"> / </w:t>
            </w:r>
            <w:r>
              <w:t>分母總和。</w:t>
            </w:r>
            <w:r>
              <w:t xml:space="preserve"> </w:t>
            </w:r>
          </w:p>
          <w:p w:rsidR="00BE552E" w:rsidRDefault="006C605F">
            <w:pPr>
              <w:numPr>
                <w:ilvl w:val="0"/>
                <w:numId w:val="7"/>
              </w:numPr>
              <w:spacing w:after="0" w:line="259" w:lineRule="auto"/>
              <w:ind w:right="0" w:hanging="360"/>
            </w:pPr>
            <w:r>
              <w:t>全年計算平均比率，進行百分位排序。</w:t>
            </w:r>
            <w:r>
              <w:t xml:space="preserve"> </w:t>
            </w:r>
          </w:p>
          <w:p w:rsidR="00BE552E" w:rsidRDefault="006C605F">
            <w:pPr>
              <w:numPr>
                <w:ilvl w:val="0"/>
                <w:numId w:val="7"/>
              </w:numPr>
              <w:spacing w:after="0" w:line="259" w:lineRule="auto"/>
              <w:ind w:right="0" w:hanging="360"/>
            </w:pPr>
            <w:r>
              <w:t>所有資料排除符合以下任一條件者：</w:t>
            </w:r>
            <w:r>
              <w:t xml:space="preserve"> </w:t>
            </w:r>
          </w:p>
          <w:p w:rsidR="00BE552E" w:rsidRDefault="006C605F">
            <w:pPr>
              <w:numPr>
                <w:ilvl w:val="1"/>
                <w:numId w:val="7"/>
              </w:numPr>
              <w:spacing w:after="0" w:line="259" w:lineRule="auto"/>
              <w:ind w:right="0" w:hanging="948"/>
            </w:pPr>
            <w:r>
              <w:t>診察費＝</w:t>
            </w:r>
            <w:r>
              <w:t xml:space="preserve">0 </w:t>
            </w:r>
          </w:p>
          <w:p w:rsidR="00BE552E" w:rsidRDefault="006C605F">
            <w:pPr>
              <w:numPr>
                <w:ilvl w:val="1"/>
                <w:numId w:val="7"/>
              </w:numPr>
              <w:spacing w:after="0" w:line="259" w:lineRule="auto"/>
              <w:ind w:right="0" w:hanging="948"/>
            </w:pPr>
            <w:r>
              <w:t>案件類別</w:t>
            </w:r>
            <w:r>
              <w:t>A3(</w:t>
            </w:r>
            <w:r>
              <w:t>預防保健</w:t>
            </w:r>
            <w:r>
              <w:t>)</w:t>
            </w:r>
            <w:r>
              <w:t>、</w:t>
            </w:r>
            <w:r>
              <w:t>B6(</w:t>
            </w:r>
            <w:r>
              <w:t>職災</w:t>
            </w:r>
            <w:r>
              <w:t>)</w:t>
            </w:r>
            <w:r>
              <w:t>、</w:t>
            </w:r>
          </w:p>
          <w:p w:rsidR="00BE552E" w:rsidRDefault="006C605F">
            <w:pPr>
              <w:spacing w:after="0" w:line="259" w:lineRule="auto"/>
              <w:ind w:left="972" w:right="0" w:firstLine="0"/>
            </w:pPr>
            <w:r>
              <w:t>22(</w:t>
            </w:r>
            <w:r>
              <w:t>其他專案</w:t>
            </w:r>
            <w:r>
              <w:t>)</w:t>
            </w:r>
            <w:r>
              <w:t>、</w:t>
            </w:r>
            <w:r>
              <w:t>24(</w:t>
            </w:r>
            <w:r>
              <w:t>慢性病</w:t>
            </w:r>
            <w:r>
              <w:t>)</w:t>
            </w:r>
            <w:r>
              <w:t>、</w:t>
            </w:r>
            <w:r>
              <w:t>25(</w:t>
            </w:r>
            <w:r>
              <w:t>無中醫鄉巡迴或獎勵開業服務</w:t>
            </w:r>
            <w:r>
              <w:t>)</w:t>
            </w:r>
            <w:r>
              <w:t>、</w:t>
            </w:r>
            <w:r>
              <w:t xml:space="preserve"> </w:t>
            </w:r>
            <w:r>
              <w:t>28(</w:t>
            </w:r>
            <w:r>
              <w:t>連續處方箋</w:t>
            </w:r>
            <w:r>
              <w:t>)</w:t>
            </w:r>
            <w:r>
              <w:t>、</w:t>
            </w:r>
            <w:r>
              <w:t>29(</w:t>
            </w:r>
            <w:r>
              <w:t>中醫針灸、傷科及脫臼整復</w:t>
            </w:r>
            <w:r>
              <w:t>)</w:t>
            </w:r>
            <w:r>
              <w:t>、</w:t>
            </w:r>
            <w:r>
              <w:t>30(</w:t>
            </w:r>
            <w:r>
              <w:t>中醫特定疾病門診加強照護</w:t>
            </w:r>
            <w:r>
              <w:t>)</w:t>
            </w:r>
            <w:r>
              <w:t>、</w:t>
            </w:r>
            <w:r>
              <w:t>31(</w:t>
            </w:r>
            <w:r>
              <w:t>中醫居家</w:t>
            </w:r>
            <w:r>
              <w:t>)</w:t>
            </w:r>
            <w:r>
              <w:t>。之專款項目案件。</w:t>
            </w:r>
            <w:r>
              <w:t xml:space="preserve"> </w:t>
            </w:r>
          </w:p>
        </w:tc>
      </w:tr>
      <w:tr w:rsidR="00BE552E">
        <w:trPr>
          <w:trHeight w:val="5694"/>
        </w:trPr>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r>
    </w:tbl>
    <w:p w:rsidR="00BE552E" w:rsidRDefault="00BE552E">
      <w:pPr>
        <w:spacing w:after="0" w:line="259" w:lineRule="auto"/>
        <w:ind w:left="-2091" w:right="138" w:firstLine="0"/>
      </w:pPr>
    </w:p>
    <w:tbl>
      <w:tblPr>
        <w:tblStyle w:val="TableGrid"/>
        <w:tblW w:w="9643" w:type="dxa"/>
        <w:tblInd w:w="-956" w:type="dxa"/>
        <w:tblCellMar>
          <w:top w:w="89" w:type="dxa"/>
          <w:left w:w="19" w:type="dxa"/>
          <w:bottom w:w="0" w:type="dxa"/>
          <w:right w:w="0" w:type="dxa"/>
        </w:tblCellMar>
        <w:tblLook w:val="04A0" w:firstRow="1" w:lastRow="0" w:firstColumn="1" w:lastColumn="0" w:noHBand="0" w:noVBand="1"/>
      </w:tblPr>
      <w:tblGrid>
        <w:gridCol w:w="3618"/>
        <w:gridCol w:w="6025"/>
      </w:tblGrid>
      <w:tr w:rsidR="00BE552E">
        <w:trPr>
          <w:trHeight w:val="485"/>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22" w:firstLine="0"/>
              <w:jc w:val="center"/>
            </w:pPr>
            <w:r>
              <w:t>指標項目</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22" w:firstLine="0"/>
              <w:jc w:val="center"/>
            </w:pPr>
            <w:r>
              <w:t>操作型定義</w:t>
            </w:r>
            <w:r>
              <w:t xml:space="preserve"> </w:t>
            </w:r>
          </w:p>
        </w:tc>
      </w:tr>
      <w:tr w:rsidR="00BE552E">
        <w:trPr>
          <w:trHeight w:val="449"/>
        </w:trPr>
        <w:tc>
          <w:tcPr>
            <w:tcW w:w="3618"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230" w:line="232" w:lineRule="auto"/>
              <w:ind w:left="804" w:right="0" w:hanging="804"/>
            </w:pPr>
            <w:r>
              <w:t>註</w:t>
            </w:r>
            <w:r>
              <w:t>10</w:t>
            </w:r>
            <w:r>
              <w:t>：「</w:t>
            </w:r>
            <w:r>
              <w:t>7</w:t>
            </w:r>
            <w:r>
              <w:t>日內處方用藥日數重複</w:t>
            </w:r>
            <w:r>
              <w:t>2</w:t>
            </w:r>
            <w:r>
              <w:t>日以上比率」</w:t>
            </w:r>
            <w:r>
              <w:t xml:space="preserve"> </w:t>
            </w:r>
          </w:p>
          <w:p w:rsidR="00BE552E" w:rsidRDefault="006C605F">
            <w:pPr>
              <w:spacing w:after="0" w:line="259" w:lineRule="auto"/>
              <w:ind w:left="804" w:right="0" w:firstLine="0"/>
            </w:pPr>
            <w:r>
              <w:t xml:space="preserve"> </w:t>
            </w:r>
          </w:p>
        </w:tc>
        <w:tc>
          <w:tcPr>
            <w:tcW w:w="6025" w:type="dxa"/>
            <w:vMerge w:val="restart"/>
            <w:tcBorders>
              <w:top w:val="single" w:sz="4" w:space="0" w:color="000000"/>
              <w:left w:val="single" w:sz="4" w:space="0" w:color="000000"/>
              <w:bottom w:val="single" w:sz="4" w:space="0" w:color="000000"/>
              <w:right w:val="single" w:sz="4" w:space="0" w:color="000000"/>
            </w:tcBorders>
          </w:tcPr>
          <w:p w:rsidR="00BE552E" w:rsidRDefault="006C605F">
            <w:pPr>
              <w:numPr>
                <w:ilvl w:val="0"/>
                <w:numId w:val="8"/>
              </w:numPr>
              <w:spacing w:after="28" w:line="234" w:lineRule="auto"/>
              <w:ind w:right="0" w:hanging="360"/>
            </w:pPr>
            <w:r>
              <w:t>資料範圍：所有屬中醫門診給藥天數小於等於</w:t>
            </w:r>
            <w:r>
              <w:t>7</w:t>
            </w:r>
            <w:r>
              <w:t>日案件。</w:t>
            </w:r>
            <w:r>
              <w:t xml:space="preserve"> </w:t>
            </w:r>
          </w:p>
          <w:p w:rsidR="00BE552E" w:rsidRDefault="006C605F">
            <w:pPr>
              <w:numPr>
                <w:ilvl w:val="0"/>
                <w:numId w:val="8"/>
              </w:numPr>
              <w:spacing w:after="0" w:line="259" w:lineRule="auto"/>
              <w:ind w:right="0" w:hanging="360"/>
            </w:pPr>
            <w:r>
              <w:t>公式說明：</w:t>
            </w:r>
            <w:r>
              <w:t xml:space="preserve"> </w:t>
            </w:r>
          </w:p>
          <w:p w:rsidR="00BE552E" w:rsidRDefault="006C605F">
            <w:pPr>
              <w:spacing w:after="0" w:line="232" w:lineRule="auto"/>
              <w:ind w:left="1068" w:right="0" w:hanging="730"/>
            </w:pPr>
            <w:r>
              <w:t>分子：按同一院所及病人</w:t>
            </w:r>
            <w:r>
              <w:t>ID</w:t>
            </w:r>
            <w:r>
              <w:t>歸戶，計算每個</w:t>
            </w:r>
            <w:r>
              <w:t>ID</w:t>
            </w:r>
            <w:r>
              <w:t>的重複給藥日份加總，排除給藥日份重複為</w:t>
            </w:r>
            <w:r>
              <w:t>1</w:t>
            </w:r>
            <w:r>
              <w:t>日之重複日數。</w:t>
            </w:r>
            <w:r>
              <w:t xml:space="preserve"> </w:t>
            </w:r>
          </w:p>
          <w:p w:rsidR="00BE552E" w:rsidRDefault="006C605F">
            <w:pPr>
              <w:spacing w:after="0" w:line="232" w:lineRule="auto"/>
              <w:ind w:left="1068" w:right="0" w:hanging="730"/>
            </w:pPr>
            <w:r>
              <w:t>分母：同一院所給藥案件之給藥日份加總。</w:t>
            </w:r>
            <w:r>
              <w:t xml:space="preserve"> </w:t>
            </w:r>
          </w:p>
          <w:p w:rsidR="00BE552E" w:rsidRDefault="006C605F">
            <w:pPr>
              <w:spacing w:after="36" w:line="230" w:lineRule="auto"/>
              <w:ind w:left="1068" w:right="0" w:hanging="730"/>
            </w:pPr>
            <w:r>
              <w:t>※</w:t>
            </w:r>
            <w:r>
              <w:t>給藥案件係藥費不為</w:t>
            </w:r>
            <w:r>
              <w:t>0</w:t>
            </w:r>
            <w:r>
              <w:t>，或給藥天數不為</w:t>
            </w:r>
            <w:r>
              <w:t>0</w:t>
            </w:r>
            <w:r>
              <w:t>。</w:t>
            </w:r>
            <w:r>
              <w:t xml:space="preserve"> </w:t>
            </w:r>
          </w:p>
          <w:p w:rsidR="00BE552E" w:rsidRDefault="006C605F">
            <w:pPr>
              <w:numPr>
                <w:ilvl w:val="0"/>
                <w:numId w:val="8"/>
              </w:numPr>
              <w:spacing w:after="0" w:line="259" w:lineRule="auto"/>
              <w:ind w:right="0" w:hanging="360"/>
            </w:pPr>
            <w:r>
              <w:t>指標計算：分子</w:t>
            </w:r>
            <w:r>
              <w:t xml:space="preserve"> / </w:t>
            </w:r>
            <w:r>
              <w:t>分母。</w:t>
            </w:r>
            <w:r>
              <w:t xml:space="preserve"> </w:t>
            </w:r>
          </w:p>
          <w:p w:rsidR="00BE552E" w:rsidRDefault="006C605F">
            <w:pPr>
              <w:numPr>
                <w:ilvl w:val="0"/>
                <w:numId w:val="8"/>
              </w:numPr>
              <w:spacing w:after="0" w:line="259" w:lineRule="auto"/>
              <w:ind w:right="0" w:hanging="360"/>
            </w:pPr>
            <w:r>
              <w:t>指標進行百分位排序。</w:t>
            </w:r>
            <w:r>
              <w:t xml:space="preserve"> </w:t>
            </w:r>
          </w:p>
          <w:p w:rsidR="00BE552E" w:rsidRDefault="006C605F">
            <w:pPr>
              <w:numPr>
                <w:ilvl w:val="0"/>
                <w:numId w:val="8"/>
              </w:numPr>
              <w:spacing w:after="0" w:line="259" w:lineRule="auto"/>
              <w:ind w:right="0" w:hanging="360"/>
            </w:pPr>
            <w:r>
              <w:t>資料排除以下任一條件者</w:t>
            </w:r>
            <w:r>
              <w:t>:</w:t>
            </w:r>
            <w:r>
              <w:t>案件分類為</w:t>
            </w:r>
          </w:p>
          <w:p w:rsidR="00BE552E" w:rsidRDefault="006C605F">
            <w:pPr>
              <w:spacing w:after="0" w:line="259" w:lineRule="auto"/>
              <w:ind w:left="360" w:right="0" w:firstLine="0"/>
            </w:pPr>
            <w:r>
              <w:t>A3(</w:t>
            </w:r>
            <w:r>
              <w:t>預防保健</w:t>
            </w:r>
            <w:r>
              <w:t>)</w:t>
            </w:r>
            <w:r>
              <w:t>、</w:t>
            </w:r>
            <w:r>
              <w:t>B6(</w:t>
            </w:r>
            <w:r>
              <w:t>職災案件</w:t>
            </w:r>
            <w:r>
              <w:t>)</w:t>
            </w:r>
            <w:r>
              <w:t>、</w:t>
            </w:r>
            <w:r>
              <w:t>22(</w:t>
            </w:r>
            <w:r>
              <w:t>中醫其他專案</w:t>
            </w:r>
            <w:r>
              <w:t>)</w:t>
            </w:r>
            <w:r>
              <w:t>、</w:t>
            </w:r>
            <w:r>
              <w:t>25(</w:t>
            </w:r>
            <w:r>
              <w:t>中醫門診總額醫療資源不足地區改善方案</w:t>
            </w:r>
            <w:r>
              <w:t>)</w:t>
            </w:r>
            <w:r>
              <w:t>、</w:t>
            </w:r>
            <w:r>
              <w:t>29(</w:t>
            </w:r>
            <w:r>
              <w:t>中醫針灸、傷科及脫臼整復</w:t>
            </w:r>
            <w:r>
              <w:t>)</w:t>
            </w:r>
            <w:r>
              <w:t>及</w:t>
            </w:r>
            <w:r>
              <w:t>31(</w:t>
            </w:r>
            <w:r>
              <w:t>中醫居家</w:t>
            </w:r>
            <w:r>
              <w:t>)</w:t>
            </w:r>
            <w:r>
              <w:t>之案件。</w:t>
            </w:r>
            <w:r>
              <w:t xml:space="preserve"> </w:t>
            </w:r>
          </w:p>
        </w:tc>
      </w:tr>
      <w:tr w:rsidR="00BE552E">
        <w:trPr>
          <w:trHeight w:val="6554"/>
        </w:trPr>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r>
      <w:tr w:rsidR="00BE552E">
        <w:trPr>
          <w:trHeight w:val="449"/>
        </w:trPr>
        <w:tc>
          <w:tcPr>
            <w:tcW w:w="3618" w:type="dxa"/>
            <w:vMerge w:val="restart"/>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804" w:right="0" w:hanging="804"/>
            </w:pPr>
            <w:r>
              <w:t>註</w:t>
            </w:r>
            <w:r>
              <w:t>11</w:t>
            </w:r>
            <w:r>
              <w:t>：「院所提供慢性病照護未達一定比例」</w:t>
            </w:r>
            <w:r>
              <w:t xml:space="preserve"> </w:t>
            </w:r>
          </w:p>
        </w:tc>
        <w:tc>
          <w:tcPr>
            <w:tcW w:w="6025" w:type="dxa"/>
            <w:vMerge w:val="restart"/>
            <w:tcBorders>
              <w:top w:val="single" w:sz="4" w:space="0" w:color="000000"/>
              <w:left w:val="single" w:sz="4" w:space="0" w:color="000000"/>
              <w:bottom w:val="single" w:sz="4" w:space="0" w:color="000000"/>
              <w:right w:val="single" w:sz="4" w:space="0" w:color="000000"/>
            </w:tcBorders>
          </w:tcPr>
          <w:p w:rsidR="00BE552E" w:rsidRDefault="006C605F">
            <w:pPr>
              <w:numPr>
                <w:ilvl w:val="0"/>
                <w:numId w:val="9"/>
              </w:numPr>
              <w:spacing w:after="2" w:line="231" w:lineRule="auto"/>
              <w:ind w:right="0" w:hanging="358"/>
            </w:pPr>
            <w:r>
              <w:t>資料範圍：中醫門診特約醫事服務機構當年度申報中醫一般案件</w:t>
            </w:r>
            <w:r>
              <w:t>(</w:t>
            </w:r>
            <w:r>
              <w:t>案件分類</w:t>
            </w:r>
            <w:r>
              <w:t>21)</w:t>
            </w:r>
            <w:r>
              <w:t>、中醫慢性病</w:t>
            </w:r>
            <w:r>
              <w:t>(</w:t>
            </w:r>
            <w:r>
              <w:t>案件分類</w:t>
            </w:r>
            <w:r>
              <w:t>24)</w:t>
            </w:r>
            <w:r>
              <w:t>及中醫慢性病連續處方調劑</w:t>
            </w:r>
            <w:r>
              <w:t>(</w:t>
            </w:r>
            <w:r>
              <w:t>案件分類</w:t>
            </w:r>
            <w:r>
              <w:t>28)</w:t>
            </w:r>
            <w:r>
              <w:t>之案件。</w:t>
            </w:r>
            <w:r>
              <w:t xml:space="preserve"> </w:t>
            </w:r>
          </w:p>
          <w:p w:rsidR="00BE552E" w:rsidRDefault="006C605F">
            <w:pPr>
              <w:numPr>
                <w:ilvl w:val="0"/>
                <w:numId w:val="9"/>
              </w:numPr>
              <w:spacing w:after="0" w:line="259" w:lineRule="auto"/>
              <w:ind w:right="0" w:hanging="358"/>
            </w:pPr>
            <w:r>
              <w:t>說明：慢性病給藥</w:t>
            </w:r>
            <w:r>
              <w:t>7</w:t>
            </w:r>
            <w:r>
              <w:t>天以上之件數占率</w:t>
            </w:r>
            <w:r>
              <w:t xml:space="preserve"> </w:t>
            </w:r>
          </w:p>
          <w:p w:rsidR="00BE552E" w:rsidRDefault="006C605F">
            <w:pPr>
              <w:spacing w:after="1" w:line="231" w:lineRule="auto"/>
              <w:ind w:left="1344" w:right="0" w:hanging="994"/>
            </w:pPr>
            <w:r>
              <w:t>A.</w:t>
            </w:r>
            <w:r>
              <w:t>分子：分母院所當年度申報下列案件分類，給藥</w:t>
            </w:r>
            <w:r>
              <w:t>7</w:t>
            </w:r>
            <w:r>
              <w:t>天以上之件數總計。案件分類：</w:t>
            </w:r>
            <w:r>
              <w:t>24(</w:t>
            </w:r>
            <w:r>
              <w:t>中醫慢性病</w:t>
            </w:r>
            <w:r>
              <w:t>)</w:t>
            </w:r>
            <w:r>
              <w:t>及</w:t>
            </w:r>
            <w:r>
              <w:t xml:space="preserve"> </w:t>
            </w:r>
            <w:r>
              <w:t>28(</w:t>
            </w:r>
            <w:r>
              <w:t>中醫慢性病連續處方調劑</w:t>
            </w:r>
            <w:r>
              <w:t>)</w:t>
            </w:r>
            <w:r>
              <w:t>之案件。</w:t>
            </w:r>
            <w:r>
              <w:t xml:space="preserve">  </w:t>
            </w:r>
          </w:p>
          <w:p w:rsidR="00BE552E" w:rsidRDefault="006C605F">
            <w:pPr>
              <w:spacing w:after="2" w:line="231" w:lineRule="auto"/>
              <w:ind w:left="1416" w:right="0" w:hanging="1066"/>
            </w:pPr>
            <w:r>
              <w:t>B.</w:t>
            </w:r>
            <w:r>
              <w:t>分母：院所當年度申報下列案件分類之件數總計。</w:t>
            </w:r>
            <w:r>
              <w:t xml:space="preserve"> </w:t>
            </w:r>
          </w:p>
          <w:p w:rsidR="00BE552E" w:rsidRDefault="006C605F">
            <w:pPr>
              <w:spacing w:after="0" w:line="259" w:lineRule="auto"/>
              <w:ind w:left="0" w:right="24" w:firstLine="0"/>
              <w:jc w:val="right"/>
            </w:pPr>
            <w:r>
              <w:t>案件分類：</w:t>
            </w:r>
            <w:r>
              <w:t>21(</w:t>
            </w:r>
            <w:r>
              <w:t>中醫一般案件</w:t>
            </w:r>
            <w:r>
              <w:t>)</w:t>
            </w:r>
            <w:r>
              <w:t>、</w:t>
            </w:r>
          </w:p>
          <w:p w:rsidR="00BE552E" w:rsidRDefault="006C605F">
            <w:pPr>
              <w:spacing w:after="1" w:line="231" w:lineRule="auto"/>
              <w:ind w:left="3029" w:right="0" w:firstLine="0"/>
            </w:pPr>
            <w:r>
              <w:t>24(</w:t>
            </w:r>
            <w:r>
              <w:t>中醫慢性病</w:t>
            </w:r>
            <w:r>
              <w:t>)</w:t>
            </w:r>
            <w:r>
              <w:t>及</w:t>
            </w:r>
            <w:r>
              <w:t xml:space="preserve"> </w:t>
            </w:r>
            <w:r>
              <w:t>28(</w:t>
            </w:r>
            <w:r>
              <w:t>中醫慢性病連續處方調劑</w:t>
            </w:r>
            <w:r>
              <w:t>)</w:t>
            </w:r>
            <w:r>
              <w:t>之案件。</w:t>
            </w:r>
            <w:r>
              <w:t xml:space="preserve"> </w:t>
            </w:r>
          </w:p>
          <w:p w:rsidR="00BE552E" w:rsidRDefault="006C605F">
            <w:pPr>
              <w:spacing w:after="4" w:line="230" w:lineRule="auto"/>
              <w:ind w:left="1946" w:right="0" w:hanging="1596"/>
            </w:pPr>
            <w:r>
              <w:t>C.</w:t>
            </w:r>
            <w:r>
              <w:t>指標計算：分子</w:t>
            </w:r>
            <w:r>
              <w:t xml:space="preserve"> / </w:t>
            </w:r>
            <w:r>
              <w:t>分母。【取至小數點後第</w:t>
            </w:r>
            <w:r>
              <w:t>2</w:t>
            </w:r>
            <w:r>
              <w:t>位</w:t>
            </w:r>
            <w:r>
              <w:t>(4</w:t>
            </w:r>
            <w:r>
              <w:t>捨</w:t>
            </w:r>
            <w:r>
              <w:t>5</w:t>
            </w:r>
            <w:r>
              <w:t>入</w:t>
            </w:r>
            <w:r>
              <w:t>)</w:t>
            </w:r>
            <w:r>
              <w:t>】</w:t>
            </w:r>
            <w:r>
              <w:t xml:space="preserve"> </w:t>
            </w:r>
          </w:p>
          <w:p w:rsidR="00BE552E" w:rsidRDefault="006C605F">
            <w:pPr>
              <w:spacing w:after="0" w:line="259" w:lineRule="auto"/>
              <w:ind w:left="151" w:right="0" w:firstLine="0"/>
              <w:jc w:val="both"/>
            </w:pPr>
            <w:r>
              <w:rPr>
                <w:sz w:val="28"/>
              </w:rPr>
              <w:t>3.</w:t>
            </w:r>
            <w:r>
              <w:rPr>
                <w:rFonts w:ascii="Arial" w:eastAsia="Arial" w:hAnsi="Arial" w:cs="Arial"/>
                <w:sz w:val="28"/>
              </w:rPr>
              <w:t xml:space="preserve"> </w:t>
            </w:r>
            <w:r>
              <w:t>資料排除診察費為</w:t>
            </w:r>
            <w:r>
              <w:t>0</w:t>
            </w:r>
            <w:r>
              <w:t>或補報原因註記</w:t>
            </w:r>
          </w:p>
        </w:tc>
      </w:tr>
      <w:tr w:rsidR="00BE552E">
        <w:trPr>
          <w:trHeight w:val="7224"/>
        </w:trPr>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r>
    </w:tbl>
    <w:p w:rsidR="00BE552E" w:rsidRDefault="00BE552E">
      <w:pPr>
        <w:spacing w:after="0" w:line="259" w:lineRule="auto"/>
        <w:ind w:left="-2091" w:right="138" w:firstLine="0"/>
        <w:jc w:val="both"/>
      </w:pPr>
    </w:p>
    <w:tbl>
      <w:tblPr>
        <w:tblStyle w:val="TableGrid"/>
        <w:tblW w:w="9643" w:type="dxa"/>
        <w:tblInd w:w="-956" w:type="dxa"/>
        <w:tblCellMar>
          <w:top w:w="89" w:type="dxa"/>
          <w:left w:w="19" w:type="dxa"/>
          <w:bottom w:w="0" w:type="dxa"/>
          <w:right w:w="0" w:type="dxa"/>
        </w:tblCellMar>
        <w:tblLook w:val="04A0" w:firstRow="1" w:lastRow="0" w:firstColumn="1" w:lastColumn="0" w:noHBand="0" w:noVBand="1"/>
      </w:tblPr>
      <w:tblGrid>
        <w:gridCol w:w="3618"/>
        <w:gridCol w:w="6025"/>
      </w:tblGrid>
      <w:tr w:rsidR="00BE552E">
        <w:trPr>
          <w:trHeight w:val="485"/>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22" w:firstLine="0"/>
              <w:jc w:val="center"/>
            </w:pPr>
            <w:r>
              <w:t>指標項目</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22" w:firstLine="0"/>
              <w:jc w:val="center"/>
            </w:pPr>
            <w:r>
              <w:t>操作型定義</w:t>
            </w:r>
            <w:r>
              <w:t xml:space="preserve"> </w:t>
            </w:r>
          </w:p>
        </w:tc>
      </w:tr>
      <w:tr w:rsidR="00BE552E">
        <w:trPr>
          <w:trHeight w:val="1061"/>
        </w:trPr>
        <w:tc>
          <w:tcPr>
            <w:tcW w:w="3618" w:type="dxa"/>
            <w:tcBorders>
              <w:top w:val="single" w:sz="4" w:space="0" w:color="000000"/>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504" w:right="0" w:firstLine="0"/>
            </w:pPr>
            <w:r>
              <w:t>為「</w:t>
            </w:r>
            <w:r>
              <w:t>2</w:t>
            </w:r>
            <w:r>
              <w:t>：補報部分醫令或醫令差額」之案件。</w:t>
            </w:r>
            <w:r>
              <w:t xml:space="preserve"> </w:t>
            </w:r>
          </w:p>
        </w:tc>
      </w:tr>
      <w:tr w:rsidR="00BE552E">
        <w:trPr>
          <w:trHeight w:val="13634"/>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0" w:firstLine="0"/>
              <w:jc w:val="both"/>
            </w:pPr>
            <w:r>
              <w:t>【核發費用計算範例】</w:t>
            </w:r>
            <w:r>
              <w:t xml:space="preserve"> </w:t>
            </w:r>
          </w:p>
          <w:p w:rsidR="00BE552E" w:rsidRDefault="006C605F">
            <w:pPr>
              <w:spacing w:after="0" w:line="259" w:lineRule="auto"/>
              <w:ind w:left="0" w:right="0" w:firstLine="0"/>
            </w:pP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numPr>
                <w:ilvl w:val="0"/>
                <w:numId w:val="10"/>
              </w:numPr>
              <w:spacing w:after="29" w:line="233" w:lineRule="auto"/>
              <w:ind w:right="0" w:hanging="408"/>
              <w:jc w:val="both"/>
            </w:pPr>
            <w:r>
              <w:t>該院所核算基礎</w:t>
            </w:r>
            <w:r>
              <w:t>(A)= (</w:t>
            </w:r>
            <w:r>
              <w:t>該院所申報當年醫療服務點數</w:t>
            </w:r>
            <w:r>
              <w:t>-</w:t>
            </w:r>
            <w:r>
              <w:t>當年申報藥費</w:t>
            </w:r>
            <w:r>
              <w:t xml:space="preserve">)× </w:t>
            </w:r>
            <w:r>
              <w:t>該院所平均核付率</w:t>
            </w:r>
            <w:r>
              <w:t>(</w:t>
            </w:r>
            <w:r>
              <w:t>含部分負擔</w:t>
            </w:r>
            <w:r>
              <w:t xml:space="preserve">) </w:t>
            </w:r>
          </w:p>
          <w:p w:rsidR="00BE552E" w:rsidRDefault="006C605F">
            <w:pPr>
              <w:numPr>
                <w:ilvl w:val="0"/>
                <w:numId w:val="10"/>
              </w:numPr>
              <w:spacing w:after="0" w:line="259" w:lineRule="auto"/>
              <w:ind w:right="0" w:hanging="408"/>
              <w:jc w:val="both"/>
            </w:pPr>
            <w:r>
              <w:t>各院所參與品質保證保留款之核算基礎</w:t>
            </w:r>
          </w:p>
          <w:p w:rsidR="00BE552E" w:rsidRDefault="006C605F">
            <w:pPr>
              <w:spacing w:after="30" w:line="232" w:lineRule="auto"/>
              <w:ind w:left="360" w:right="0" w:firstLine="0"/>
            </w:pPr>
            <w:r>
              <w:t>(B) = 60%×</w:t>
            </w:r>
            <w:r>
              <w:t>各院所核算基礎</w:t>
            </w:r>
            <w:r>
              <w:t xml:space="preserve">(A) ± </w:t>
            </w:r>
            <w:r>
              <w:t>第捌點及第玖點增減點數</w:t>
            </w:r>
            <w:r>
              <w:t xml:space="preserve"> </w:t>
            </w:r>
          </w:p>
          <w:p w:rsidR="00BE552E" w:rsidRDefault="006C605F">
            <w:pPr>
              <w:numPr>
                <w:ilvl w:val="0"/>
                <w:numId w:val="10"/>
              </w:numPr>
              <w:spacing w:after="0" w:line="259" w:lineRule="auto"/>
              <w:ind w:right="0" w:hanging="408"/>
              <w:jc w:val="both"/>
            </w:pPr>
            <w:r>
              <w:t>各院所品質保證保留款核算基礎合計</w:t>
            </w:r>
            <w:r>
              <w:t>=</w:t>
            </w:r>
          </w:p>
          <w:p w:rsidR="00BE552E" w:rsidRDefault="006C605F">
            <w:pPr>
              <w:spacing w:after="30" w:line="232" w:lineRule="auto"/>
              <w:ind w:left="360" w:right="0" w:firstLine="0"/>
            </w:pPr>
            <w:r>
              <w:t>Σ(B)= (60%×</w:t>
            </w:r>
            <w:r>
              <w:t>各院所核算基礎</w:t>
            </w:r>
            <w:r>
              <w:t xml:space="preserve">(A) ± </w:t>
            </w:r>
            <w:r>
              <w:t>第捌點及第玖點增減點數</w:t>
            </w:r>
            <w:r>
              <w:t>)</w:t>
            </w:r>
            <w:r>
              <w:t>之合計</w:t>
            </w:r>
            <w:r>
              <w:t xml:space="preserve"> </w:t>
            </w:r>
          </w:p>
          <w:p w:rsidR="00BE552E" w:rsidRDefault="006C605F">
            <w:pPr>
              <w:numPr>
                <w:ilvl w:val="0"/>
                <w:numId w:val="10"/>
              </w:numPr>
              <w:spacing w:after="0" w:line="259" w:lineRule="auto"/>
              <w:ind w:right="0" w:hanging="408"/>
              <w:jc w:val="both"/>
            </w:pPr>
            <w:r>
              <w:t>符合核發資格之分數計算原則，如下</w:t>
            </w:r>
            <w:r>
              <w:t xml:space="preserve">: </w:t>
            </w:r>
          </w:p>
          <w:p w:rsidR="00BE552E" w:rsidRDefault="006C605F">
            <w:pPr>
              <w:spacing w:after="0" w:line="232" w:lineRule="auto"/>
              <w:ind w:left="360" w:right="0" w:firstLine="0"/>
            </w:pPr>
            <w:r>
              <w:rPr>
                <w:rFonts w:ascii="細明體" w:eastAsia="細明體" w:hAnsi="細明體" w:cs="細明體"/>
              </w:rPr>
              <w:t>①</w:t>
            </w:r>
            <w:r>
              <w:t>符合本方案第捌點第二項者，核予</w:t>
            </w:r>
            <w:r>
              <w:t xml:space="preserve">20   </w:t>
            </w:r>
            <w:r>
              <w:t>分。</w:t>
            </w:r>
            <w:r>
              <w:t xml:space="preserve"> </w:t>
            </w:r>
          </w:p>
          <w:p w:rsidR="00BE552E" w:rsidRDefault="006C605F">
            <w:pPr>
              <w:spacing w:after="0" w:line="232" w:lineRule="auto"/>
              <w:ind w:left="360" w:right="0" w:firstLine="0"/>
            </w:pPr>
            <w:r>
              <w:rPr>
                <w:rFonts w:ascii="細明體" w:eastAsia="細明體" w:hAnsi="細明體" w:cs="細明體"/>
              </w:rPr>
              <w:t>②</w:t>
            </w:r>
            <w:r>
              <w:t>符合本方案第捌點第三項者，核予</w:t>
            </w:r>
            <w:r>
              <w:t xml:space="preserve">15   </w:t>
            </w:r>
            <w:r>
              <w:t>分。</w:t>
            </w:r>
            <w:r>
              <w:t xml:space="preserve"> </w:t>
            </w:r>
          </w:p>
          <w:p w:rsidR="00BE552E" w:rsidRDefault="006C605F">
            <w:pPr>
              <w:spacing w:after="2" w:line="230" w:lineRule="auto"/>
              <w:ind w:left="360" w:right="0" w:firstLine="0"/>
            </w:pPr>
            <w:r>
              <w:rPr>
                <w:rFonts w:ascii="細明體" w:eastAsia="細明體" w:hAnsi="細明體" w:cs="細明體"/>
              </w:rPr>
              <w:t>③</w:t>
            </w:r>
            <w:r>
              <w:t>符合第捌點第四至</w:t>
            </w:r>
            <w:r>
              <w:rPr>
                <w:u w:val="single" w:color="000000"/>
              </w:rPr>
              <w:t>九</w:t>
            </w:r>
            <w:r>
              <w:rPr>
                <w:strike/>
              </w:rPr>
              <w:t>六</w:t>
            </w:r>
            <w:r>
              <w:t>項者，各核予</w:t>
            </w:r>
            <w:r>
              <w:t xml:space="preserve">10   </w:t>
            </w:r>
            <w:r>
              <w:t>分。</w:t>
            </w:r>
            <w:r>
              <w:t xml:space="preserve"> </w:t>
            </w:r>
          </w:p>
          <w:p w:rsidR="00BE552E" w:rsidRDefault="006C605F">
            <w:pPr>
              <w:spacing w:after="1" w:line="231" w:lineRule="auto"/>
              <w:ind w:left="360" w:right="0" w:firstLine="0"/>
            </w:pPr>
            <w:r>
              <w:rPr>
                <w:rFonts w:ascii="細明體" w:eastAsia="細明體" w:hAnsi="細明體" w:cs="細明體"/>
              </w:rPr>
              <w:t>④</w:t>
            </w:r>
            <w:r>
              <w:t>符合本方案第玖點第一項者，當年度申</w:t>
            </w:r>
            <w:r>
              <w:t xml:space="preserve"> </w:t>
            </w:r>
            <w:r>
              <w:t xml:space="preserve">  </w:t>
            </w:r>
            <w:r>
              <w:t>報醫療費用之中醫師扣減</w:t>
            </w:r>
            <w:r>
              <w:t>2</w:t>
            </w:r>
            <w:r>
              <w:t>分，單一中</w:t>
            </w:r>
            <w:r>
              <w:t xml:space="preserve"> </w:t>
            </w:r>
            <w:r>
              <w:t xml:space="preserve">  </w:t>
            </w:r>
            <w:r>
              <w:t>醫院所最多扣減</w:t>
            </w:r>
            <w:r>
              <w:t>10</w:t>
            </w:r>
            <w:r>
              <w:t>分。</w:t>
            </w:r>
            <w:r>
              <w:t xml:space="preserve"> </w:t>
            </w:r>
          </w:p>
          <w:p w:rsidR="00BE552E" w:rsidRDefault="006C605F">
            <w:pPr>
              <w:spacing w:after="0" w:line="232" w:lineRule="auto"/>
              <w:ind w:left="360" w:right="0" w:firstLine="0"/>
            </w:pPr>
            <w:r>
              <w:rPr>
                <w:rFonts w:ascii="細明體" w:eastAsia="細明體" w:hAnsi="細明體" w:cs="細明體"/>
              </w:rPr>
              <w:t>⑤</w:t>
            </w:r>
            <w:r>
              <w:t>符合本方案第玖點第二至</w:t>
            </w:r>
            <w:r>
              <w:rPr>
                <w:u w:val="single" w:color="000000"/>
              </w:rPr>
              <w:t>四</w:t>
            </w:r>
            <w:r>
              <w:rPr>
                <w:strike/>
              </w:rPr>
              <w:t>五</w:t>
            </w:r>
            <w:r>
              <w:t>項者，各</w:t>
            </w:r>
            <w:r>
              <w:t xml:space="preserve"> </w:t>
            </w:r>
            <w:r>
              <w:t xml:space="preserve">  </w:t>
            </w:r>
            <w:r>
              <w:t>扣減</w:t>
            </w:r>
            <w:r>
              <w:t>5</w:t>
            </w:r>
            <w:r>
              <w:t>分。</w:t>
            </w:r>
            <w:r>
              <w:t xml:space="preserve"> </w:t>
            </w:r>
          </w:p>
          <w:p w:rsidR="00BE552E" w:rsidRDefault="006C605F">
            <w:pPr>
              <w:spacing w:after="0" w:line="232" w:lineRule="auto"/>
              <w:ind w:left="360" w:right="-54" w:firstLine="0"/>
            </w:pPr>
            <w:r>
              <w:rPr>
                <w:rFonts w:ascii="細明體" w:eastAsia="細明體" w:hAnsi="細明體" w:cs="細明體"/>
              </w:rPr>
              <w:t>⑥</w:t>
            </w:r>
            <w:r>
              <w:t>符合核發品質保證保留款資格中醫院</w:t>
            </w:r>
            <w:r>
              <w:t xml:space="preserve">   </w:t>
            </w:r>
            <w:r>
              <w:t>所，依前項分數加總並由高而低排列，</w:t>
            </w:r>
            <w:r>
              <w:t xml:space="preserve"> </w:t>
            </w:r>
            <w:r>
              <w:t xml:space="preserve">  </w:t>
            </w:r>
            <w:r>
              <w:t>取前</w:t>
            </w:r>
            <w:r>
              <w:t>90</w:t>
            </w:r>
            <w:r>
              <w:t>百分位進行核發。</w:t>
            </w:r>
            <w:r>
              <w:t xml:space="preserve"> </w:t>
            </w:r>
          </w:p>
          <w:p w:rsidR="00BE552E" w:rsidRDefault="006C605F">
            <w:pPr>
              <w:spacing w:after="33" w:line="232" w:lineRule="auto"/>
              <w:ind w:left="360" w:right="0" w:firstLine="0"/>
            </w:pPr>
            <w:r>
              <w:rPr>
                <w:rFonts w:ascii="細明體" w:eastAsia="細明體" w:hAnsi="細明體" w:cs="細明體"/>
              </w:rPr>
              <w:t>⑦</w:t>
            </w:r>
            <w:r>
              <w:rPr>
                <w:u w:val="single" w:color="000000"/>
              </w:rPr>
              <w:t>符合核發品質保證保留款資格前</w:t>
            </w:r>
            <w:r>
              <w:rPr>
                <w:u w:val="single" w:color="000000"/>
              </w:rPr>
              <w:t>30%</w:t>
            </w:r>
            <w:r>
              <w:rPr>
                <w:u w:val="single" w:color="000000"/>
              </w:rPr>
              <w:t>之</w:t>
            </w:r>
            <w:r>
              <w:rPr>
                <w:u w:val="single" w:color="000000"/>
              </w:rPr>
              <w:t xml:space="preserve"> </w:t>
            </w:r>
            <w:r>
              <w:t xml:space="preserve">  </w:t>
            </w:r>
            <w:r>
              <w:rPr>
                <w:u w:val="single" w:color="000000"/>
              </w:rPr>
              <w:t>院所，核算基礎</w:t>
            </w:r>
            <w:r>
              <w:rPr>
                <w:u w:val="single" w:color="000000"/>
              </w:rPr>
              <w:t>(A)</w:t>
            </w:r>
            <w:r>
              <w:rPr>
                <w:u w:val="single" w:color="000000"/>
              </w:rPr>
              <w:t>加計</w:t>
            </w:r>
            <w:r>
              <w:rPr>
                <w:u w:val="single" w:color="000000"/>
              </w:rPr>
              <w:t>100%</w:t>
            </w:r>
            <w:r>
              <w:rPr>
                <w:u w:val="single" w:color="000000"/>
              </w:rPr>
              <w:t>。</w:t>
            </w:r>
            <w:r>
              <w:t xml:space="preserve"> </w:t>
            </w:r>
          </w:p>
          <w:p w:rsidR="00BE552E" w:rsidRDefault="006C605F">
            <w:pPr>
              <w:spacing w:after="0" w:line="259" w:lineRule="auto"/>
              <w:ind w:left="0" w:right="0" w:firstLine="0"/>
            </w:pPr>
            <w:r>
              <w:t>5.</w:t>
            </w:r>
            <w:r>
              <w:rPr>
                <w:rFonts w:ascii="Arial" w:eastAsia="Arial" w:hAnsi="Arial" w:cs="Arial"/>
              </w:rPr>
              <w:t xml:space="preserve"> </w:t>
            </w:r>
            <w:r>
              <w:t>試算範例如下</w:t>
            </w:r>
            <w:r>
              <w:t xml:space="preserve">: </w:t>
            </w:r>
          </w:p>
          <w:p w:rsidR="00BE552E" w:rsidRDefault="006C605F">
            <w:pPr>
              <w:spacing w:after="1" w:line="231" w:lineRule="auto"/>
              <w:ind w:left="631" w:right="0" w:hanging="449"/>
            </w:pPr>
            <w:r>
              <w:t>(1)</w:t>
            </w:r>
            <w:r>
              <w:t>僅符合基本資格</w:t>
            </w:r>
            <w:r>
              <w:t>(</w:t>
            </w:r>
            <w:r>
              <w:t>無本方案第柒、捌、玖點之情事</w:t>
            </w:r>
            <w:r>
              <w:t>)</w:t>
            </w:r>
            <w:r>
              <w:t>者院所核發品質保證保留款金額</w:t>
            </w:r>
            <w:r>
              <w:t>=</w:t>
            </w:r>
            <w:r>
              <w:t>當年品保款預算</w:t>
            </w:r>
            <w:r>
              <w:t>× (A) × 60% /Σ(B)</w:t>
            </w:r>
            <w:r>
              <w:t xml:space="preserve"> </w:t>
            </w:r>
          </w:p>
          <w:p w:rsidR="00BE552E" w:rsidRDefault="006C605F">
            <w:pPr>
              <w:spacing w:after="0" w:line="232" w:lineRule="auto"/>
              <w:ind w:left="643" w:right="0" w:hanging="461"/>
            </w:pPr>
            <w:r>
              <w:t>(2)</w:t>
            </w:r>
            <w:r>
              <w:t>僅符合基本資格及教學研究績效卓著者</w:t>
            </w:r>
            <w:r>
              <w:t xml:space="preserve">(+10%) </w:t>
            </w:r>
          </w:p>
          <w:p w:rsidR="00BE552E" w:rsidRDefault="006C605F">
            <w:pPr>
              <w:spacing w:after="0" w:line="259" w:lineRule="auto"/>
              <w:ind w:left="0" w:right="94" w:firstLine="0"/>
              <w:jc w:val="right"/>
            </w:pPr>
            <w:r>
              <w:t>院所核發品質保證保留款金額</w:t>
            </w:r>
            <w:r>
              <w:t>=</w:t>
            </w:r>
            <w:r>
              <w:t>當年品</w:t>
            </w:r>
          </w:p>
        </w:tc>
      </w:tr>
    </w:tbl>
    <w:p w:rsidR="00BE552E" w:rsidRDefault="00BE552E">
      <w:pPr>
        <w:spacing w:after="0" w:line="259" w:lineRule="auto"/>
        <w:ind w:left="-2091" w:right="138" w:firstLine="0"/>
      </w:pPr>
    </w:p>
    <w:tbl>
      <w:tblPr>
        <w:tblStyle w:val="TableGrid"/>
        <w:tblW w:w="9643" w:type="dxa"/>
        <w:tblInd w:w="-956" w:type="dxa"/>
        <w:tblCellMar>
          <w:top w:w="90" w:type="dxa"/>
          <w:left w:w="202" w:type="dxa"/>
          <w:bottom w:w="0" w:type="dxa"/>
          <w:right w:w="22" w:type="dxa"/>
        </w:tblCellMar>
        <w:tblLook w:val="04A0" w:firstRow="1" w:lastRow="0" w:firstColumn="1" w:lastColumn="0" w:noHBand="0" w:noVBand="1"/>
      </w:tblPr>
      <w:tblGrid>
        <w:gridCol w:w="3618"/>
        <w:gridCol w:w="6025"/>
      </w:tblGrid>
      <w:tr w:rsidR="00BE552E">
        <w:trPr>
          <w:trHeight w:val="485"/>
        </w:trPr>
        <w:tc>
          <w:tcPr>
            <w:tcW w:w="3618"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183" w:firstLine="0"/>
              <w:jc w:val="center"/>
            </w:pPr>
            <w:r>
              <w:t>指標項目</w:t>
            </w:r>
            <w:r>
              <w:t xml:space="preserve"> </w:t>
            </w: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183" w:firstLine="0"/>
              <w:jc w:val="center"/>
            </w:pPr>
            <w:r>
              <w:t>操作型定義</w:t>
            </w:r>
            <w:r>
              <w:t xml:space="preserve"> </w:t>
            </w:r>
          </w:p>
        </w:tc>
      </w:tr>
      <w:tr w:rsidR="00BE552E">
        <w:trPr>
          <w:trHeight w:val="3812"/>
        </w:trPr>
        <w:tc>
          <w:tcPr>
            <w:tcW w:w="3618" w:type="dxa"/>
            <w:tcBorders>
              <w:top w:val="single" w:sz="4" w:space="0" w:color="000000"/>
              <w:left w:val="single" w:sz="4" w:space="0" w:color="000000"/>
              <w:bottom w:val="single" w:sz="4" w:space="0" w:color="000000"/>
              <w:right w:val="single" w:sz="4" w:space="0" w:color="000000"/>
            </w:tcBorders>
          </w:tcPr>
          <w:p w:rsidR="00BE552E" w:rsidRDefault="00BE552E">
            <w:pPr>
              <w:spacing w:after="160" w:line="259" w:lineRule="auto"/>
              <w:ind w:left="0" w:right="0" w:firstLine="0"/>
            </w:pPr>
          </w:p>
        </w:tc>
        <w:tc>
          <w:tcPr>
            <w:tcW w:w="6025" w:type="dxa"/>
            <w:tcBorders>
              <w:top w:val="single" w:sz="4" w:space="0" w:color="000000"/>
              <w:left w:val="single" w:sz="4" w:space="0" w:color="000000"/>
              <w:bottom w:val="single" w:sz="4" w:space="0" w:color="000000"/>
              <w:right w:val="single" w:sz="4" w:space="0" w:color="000000"/>
            </w:tcBorders>
          </w:tcPr>
          <w:p w:rsidR="00BE552E" w:rsidRDefault="006C605F">
            <w:pPr>
              <w:spacing w:after="0" w:line="259" w:lineRule="auto"/>
              <w:ind w:left="0" w:right="425" w:firstLine="0"/>
              <w:jc w:val="center"/>
            </w:pPr>
            <w:r>
              <w:t>保款預算</w:t>
            </w:r>
            <w:r>
              <w:t>×(A)×(60%+10%)/Σ(B)</w:t>
            </w:r>
            <w:r>
              <w:t xml:space="preserve"> </w:t>
            </w:r>
          </w:p>
          <w:p w:rsidR="00BE552E" w:rsidRDefault="006C605F">
            <w:pPr>
              <w:spacing w:after="0" w:line="232" w:lineRule="auto"/>
              <w:ind w:left="461" w:right="0" w:hanging="461"/>
            </w:pPr>
            <w:r>
              <w:t>(3)</w:t>
            </w:r>
            <w:r>
              <w:t>符合基本資格且於無中醫門診特約醫事服務機構之鄉鎮地區開業者</w:t>
            </w:r>
            <w:r>
              <w:t xml:space="preserve"> </w:t>
            </w:r>
            <w:r>
              <w:t>(+100%)</w:t>
            </w:r>
            <w:r>
              <w:t>、教學研究績效卓著者</w:t>
            </w:r>
            <w:r>
              <w:t xml:space="preserve">(+10%) </w:t>
            </w:r>
            <w:r>
              <w:t>但「</w:t>
            </w:r>
            <w:r>
              <w:rPr>
                <w:u w:val="single" w:color="000000"/>
              </w:rPr>
              <w:t>7</w:t>
            </w:r>
            <w:r>
              <w:rPr>
                <w:u w:val="single" w:color="000000"/>
              </w:rPr>
              <w:t>日內處方用藥日數重複</w:t>
            </w:r>
            <w:r>
              <w:rPr>
                <w:u w:val="single" w:color="000000"/>
              </w:rPr>
              <w:t>2</w:t>
            </w:r>
            <w:r>
              <w:rPr>
                <w:u w:val="single" w:color="000000"/>
              </w:rPr>
              <w:t>日以上比率</w:t>
            </w:r>
            <w:r>
              <w:t>」超過</w:t>
            </w:r>
            <w:r>
              <w:t>80</w:t>
            </w:r>
            <w:r>
              <w:t>百分位者</w:t>
            </w:r>
            <w:r>
              <w:t>(-</w:t>
            </w:r>
            <w:r>
              <w:t>10%)</w:t>
            </w:r>
            <w:r>
              <w:rPr>
                <w:color w:val="EE0000"/>
                <w:sz w:val="28"/>
              </w:rPr>
              <w:t xml:space="preserve">  </w:t>
            </w:r>
          </w:p>
          <w:p w:rsidR="00BE552E" w:rsidRDefault="006C605F">
            <w:pPr>
              <w:spacing w:after="0" w:line="232" w:lineRule="auto"/>
              <w:ind w:left="446" w:right="0" w:firstLine="0"/>
            </w:pPr>
            <w:r>
              <w:t>院所核發品質保證保留款金額</w:t>
            </w:r>
            <w:r>
              <w:t>=</w:t>
            </w:r>
            <w:r>
              <w:t>當年品保款預算</w:t>
            </w:r>
            <w:r>
              <w:t>× A×(60%+100%+10%</w:t>
            </w:r>
            <w:r>
              <w:t>-</w:t>
            </w:r>
          </w:p>
          <w:p w:rsidR="00BE552E" w:rsidRDefault="006C605F">
            <w:pPr>
              <w:spacing w:after="0" w:line="259" w:lineRule="auto"/>
              <w:ind w:left="446" w:right="0" w:firstLine="0"/>
            </w:pPr>
            <w:r>
              <w:t>10%)/ΣB</w:t>
            </w:r>
            <w:r>
              <w:t xml:space="preserve"> </w:t>
            </w:r>
          </w:p>
        </w:tc>
      </w:tr>
    </w:tbl>
    <w:p w:rsidR="00BE552E" w:rsidRDefault="00BE552E">
      <w:pPr>
        <w:sectPr w:rsidR="00BE552E">
          <w:footerReference w:type="even" r:id="rId10"/>
          <w:footerReference w:type="default" r:id="rId11"/>
          <w:footerReference w:type="first" r:id="rId12"/>
          <w:pgSz w:w="11906" w:h="16838"/>
          <w:pgMar w:top="857" w:right="990" w:bottom="802" w:left="2091" w:header="720" w:footer="438" w:gutter="0"/>
          <w:cols w:space="720"/>
        </w:sectPr>
      </w:pPr>
    </w:p>
    <w:p w:rsidR="00BE552E" w:rsidRDefault="006C605F">
      <w:pPr>
        <w:spacing w:after="68" w:line="216" w:lineRule="auto"/>
        <w:ind w:left="2434" w:right="0" w:firstLine="5859"/>
      </w:pPr>
      <w:r>
        <w:rPr>
          <w:sz w:val="28"/>
        </w:rPr>
        <w:t>附件</w:t>
      </w:r>
      <w:r>
        <w:t>全民健康保險中醫門診總額</w:t>
      </w:r>
      <w:r>
        <w:t xml:space="preserve"> </w:t>
      </w:r>
    </w:p>
    <w:p w:rsidR="00BE552E" w:rsidRDefault="006C605F">
      <w:pPr>
        <w:spacing w:after="400"/>
        <w:ind w:left="1510" w:right="0"/>
      </w:pPr>
      <w:r>
        <w:t>中藥用藥安全管理及品質提升作業要點</w:t>
      </w:r>
      <w:r>
        <w:t xml:space="preserve"> </w:t>
      </w:r>
    </w:p>
    <w:p w:rsidR="00BE552E" w:rsidRDefault="006C605F">
      <w:pPr>
        <w:numPr>
          <w:ilvl w:val="0"/>
          <w:numId w:val="6"/>
        </w:numPr>
        <w:spacing w:after="111" w:line="265" w:lineRule="auto"/>
        <w:ind w:right="0" w:hanging="562"/>
      </w:pPr>
      <w:r>
        <w:rPr>
          <w:sz w:val="28"/>
        </w:rPr>
        <w:t>目的：</w:t>
      </w:r>
      <w:r>
        <w:rPr>
          <w:sz w:val="28"/>
        </w:rPr>
        <w:t xml:space="preserve"> </w:t>
      </w:r>
    </w:p>
    <w:p w:rsidR="00BE552E" w:rsidRDefault="006C605F">
      <w:pPr>
        <w:spacing w:after="111" w:line="265" w:lineRule="auto"/>
        <w:ind w:left="924" w:right="0" w:firstLine="578"/>
      </w:pPr>
      <w:r>
        <w:rPr>
          <w:sz w:val="28"/>
        </w:rPr>
        <w:t>為重視中藥保存安全，提升中醫醫療品質，訂定本要點，以加強中醫門診特約醫事服務機構</w:t>
      </w:r>
      <w:r>
        <w:rPr>
          <w:sz w:val="28"/>
        </w:rPr>
        <w:t>(</w:t>
      </w:r>
      <w:r>
        <w:rPr>
          <w:sz w:val="28"/>
        </w:rPr>
        <w:t>以下稱中醫醫療院所</w:t>
      </w:r>
      <w:r>
        <w:rPr>
          <w:sz w:val="28"/>
        </w:rPr>
        <w:t>)</w:t>
      </w:r>
      <w:r>
        <w:rPr>
          <w:sz w:val="28"/>
        </w:rPr>
        <w:t>藥品管理作業，確保民眾用藥權益與安全。</w:t>
      </w:r>
      <w:r>
        <w:rPr>
          <w:sz w:val="28"/>
        </w:rPr>
        <w:t xml:space="preserve"> </w:t>
      </w:r>
    </w:p>
    <w:p w:rsidR="00BE552E" w:rsidRDefault="006C605F">
      <w:pPr>
        <w:numPr>
          <w:ilvl w:val="0"/>
          <w:numId w:val="6"/>
        </w:numPr>
        <w:spacing w:after="111" w:line="265" w:lineRule="auto"/>
        <w:ind w:right="0" w:hanging="562"/>
      </w:pPr>
      <w:r>
        <w:rPr>
          <w:sz w:val="28"/>
        </w:rPr>
        <w:t>申請方式：</w:t>
      </w:r>
      <w:r>
        <w:rPr>
          <w:sz w:val="28"/>
        </w:rPr>
        <w:t xml:space="preserve"> </w:t>
      </w:r>
    </w:p>
    <w:p w:rsidR="00BE552E" w:rsidRDefault="006C605F">
      <w:pPr>
        <w:spacing w:after="27" w:line="265" w:lineRule="auto"/>
        <w:ind w:left="924" w:right="0" w:firstLine="578"/>
      </w:pPr>
      <w:r>
        <w:rPr>
          <w:sz w:val="28"/>
        </w:rPr>
        <w:t>符合本要點第三點第一項之中醫醫療院所，應填具申請書</w:t>
      </w:r>
      <w:r>
        <w:rPr>
          <w:sz w:val="28"/>
        </w:rPr>
        <w:t>(</w:t>
      </w:r>
      <w:r>
        <w:rPr>
          <w:sz w:val="28"/>
        </w:rPr>
        <w:t>如附表一</w:t>
      </w:r>
      <w:r>
        <w:rPr>
          <w:sz w:val="28"/>
        </w:rPr>
        <w:t>)</w:t>
      </w:r>
      <w:r>
        <w:rPr>
          <w:sz w:val="28"/>
        </w:rPr>
        <w:t>並檢附查檢表</w:t>
      </w:r>
      <w:r>
        <w:rPr>
          <w:sz w:val="28"/>
        </w:rPr>
        <w:t>(</w:t>
      </w:r>
      <w:r>
        <w:rPr>
          <w:sz w:val="28"/>
        </w:rPr>
        <w:t>如附表二</w:t>
      </w:r>
      <w:r>
        <w:rPr>
          <w:sz w:val="28"/>
        </w:rPr>
        <w:t>)</w:t>
      </w:r>
      <w:r>
        <w:rPr>
          <w:sz w:val="28"/>
        </w:rPr>
        <w:t>，向中華民國中醫師公會全國聯合會</w:t>
      </w:r>
    </w:p>
    <w:p w:rsidR="00BE552E" w:rsidRDefault="006C605F">
      <w:pPr>
        <w:spacing w:after="111" w:line="265" w:lineRule="auto"/>
        <w:ind w:left="934" w:right="0"/>
      </w:pPr>
      <w:r>
        <w:rPr>
          <w:sz w:val="28"/>
        </w:rPr>
        <w:t>(</w:t>
      </w:r>
      <w:r>
        <w:rPr>
          <w:sz w:val="28"/>
        </w:rPr>
        <w:t>以下稱中醫全聯會</w:t>
      </w:r>
      <w:r>
        <w:rPr>
          <w:sz w:val="28"/>
        </w:rPr>
        <w:t>)</w:t>
      </w:r>
      <w:r>
        <w:rPr>
          <w:sz w:val="28"/>
        </w:rPr>
        <w:t>申請認證。</w:t>
      </w:r>
      <w:r>
        <w:rPr>
          <w:sz w:val="28"/>
        </w:rPr>
        <w:t xml:space="preserve"> </w:t>
      </w:r>
    </w:p>
    <w:p w:rsidR="00BE552E" w:rsidRDefault="006C605F">
      <w:pPr>
        <w:numPr>
          <w:ilvl w:val="0"/>
          <w:numId w:val="6"/>
        </w:numPr>
        <w:spacing w:after="111" w:line="265" w:lineRule="auto"/>
        <w:ind w:right="0" w:hanging="562"/>
      </w:pPr>
      <w:r>
        <w:rPr>
          <w:sz w:val="28"/>
        </w:rPr>
        <w:t>評核方式：</w:t>
      </w:r>
      <w:r>
        <w:rPr>
          <w:sz w:val="28"/>
        </w:rPr>
        <w:t xml:space="preserve"> </w:t>
      </w:r>
    </w:p>
    <w:p w:rsidR="00BE552E" w:rsidRDefault="006C605F">
      <w:pPr>
        <w:spacing w:after="111" w:line="265" w:lineRule="auto"/>
        <w:ind w:left="1099" w:right="0" w:hanging="588"/>
      </w:pPr>
      <w:r>
        <w:rPr>
          <w:sz w:val="28"/>
        </w:rPr>
        <w:t>(</w:t>
      </w:r>
      <w:r>
        <w:rPr>
          <w:sz w:val="28"/>
        </w:rPr>
        <w:t>一</w:t>
      </w:r>
      <w:r>
        <w:rPr>
          <w:sz w:val="28"/>
        </w:rPr>
        <w:t>)</w:t>
      </w:r>
      <w:r>
        <w:rPr>
          <w:sz w:val="28"/>
        </w:rPr>
        <w:t>中醫醫療院所之專任醫師均須參加中醫全聯會辦理之「中藥用藥安全管理及品質提升作業」講習會，並取得證明後，以自評方式提出申請。經中醫全聯會審查合格之院所名單，每季公告於該會網站。</w:t>
      </w:r>
      <w:r>
        <w:rPr>
          <w:sz w:val="28"/>
        </w:rPr>
        <w:t xml:space="preserve"> </w:t>
      </w:r>
    </w:p>
    <w:p w:rsidR="00BE552E" w:rsidRDefault="006C605F">
      <w:pPr>
        <w:spacing w:after="111" w:line="265" w:lineRule="auto"/>
        <w:ind w:left="1099" w:right="0" w:hanging="588"/>
      </w:pPr>
      <w:r>
        <w:rPr>
          <w:sz w:val="28"/>
        </w:rPr>
        <w:t>(</w:t>
      </w:r>
      <w:r>
        <w:rPr>
          <w:sz w:val="28"/>
        </w:rPr>
        <w:t>二</w:t>
      </w:r>
      <w:r>
        <w:rPr>
          <w:sz w:val="28"/>
        </w:rPr>
        <w:t>)</w:t>
      </w:r>
      <w:r>
        <w:rPr>
          <w:sz w:val="28"/>
        </w:rPr>
        <w:t>訪查評估：由中醫全聯會「中醫門診醫療服務審查執行會」之各分區會每年就該區合格院所數抽取二十分之一的院所進行實地訪查，並依本要點之檢查表評分；訪查不合格之院所改善後可提出複查。未提出複查或經複查仍未合格者，則列入該年度不合格院所名單。</w:t>
      </w:r>
      <w:r>
        <w:rPr>
          <w:sz w:val="28"/>
        </w:rPr>
        <w:t xml:space="preserve"> </w:t>
      </w:r>
    </w:p>
    <w:p w:rsidR="00BE552E" w:rsidRDefault="006C605F">
      <w:pPr>
        <w:spacing w:after="111" w:line="265" w:lineRule="auto"/>
        <w:ind w:left="1099" w:right="0" w:hanging="588"/>
      </w:pPr>
      <w:r>
        <w:rPr>
          <w:sz w:val="28"/>
        </w:rPr>
        <w:t>(</w:t>
      </w:r>
      <w:r>
        <w:rPr>
          <w:sz w:val="28"/>
        </w:rPr>
        <w:t>三</w:t>
      </w:r>
      <w:r>
        <w:rPr>
          <w:sz w:val="28"/>
        </w:rPr>
        <w:t>)</w:t>
      </w:r>
      <w:r>
        <w:rPr>
          <w:sz w:val="28"/>
        </w:rPr>
        <w:t>認證合格之中醫醫療院所，如經中醫全聯會、保險人分區業務組或地方衛生主管機關依本要點查檢表再評核未合格者，該院所亦不予核發該年度「全民健康保險中醫門診總額品質保證保留款」。</w:t>
      </w:r>
      <w:r>
        <w:rPr>
          <w:sz w:val="28"/>
        </w:rPr>
        <w:t xml:space="preserve"> </w:t>
      </w:r>
    </w:p>
    <w:p w:rsidR="00BE552E" w:rsidRDefault="006C605F">
      <w:pPr>
        <w:numPr>
          <w:ilvl w:val="0"/>
          <w:numId w:val="6"/>
        </w:numPr>
        <w:spacing w:after="3316" w:line="265" w:lineRule="auto"/>
        <w:ind w:right="0" w:hanging="562"/>
      </w:pPr>
      <w:r>
        <w:rPr>
          <w:sz w:val="28"/>
        </w:rPr>
        <w:t>本要點之評核作業由中醫全聯會研訂後公告實施。</w:t>
      </w:r>
      <w:r>
        <w:rPr>
          <w:sz w:val="28"/>
        </w:rPr>
        <w:t xml:space="preserve"> </w:t>
      </w:r>
    </w:p>
    <w:p w:rsidR="00BE552E" w:rsidRDefault="00BE552E">
      <w:pPr>
        <w:spacing w:after="130" w:line="259" w:lineRule="auto"/>
        <w:ind w:left="19" w:right="562"/>
        <w:jc w:val="center"/>
      </w:pPr>
    </w:p>
    <w:p w:rsidR="00BE552E" w:rsidRDefault="006C605F" w:rsidP="00705CC5">
      <w:pPr>
        <w:spacing w:after="0" w:line="259" w:lineRule="auto"/>
        <w:ind w:right="186"/>
        <w:jc w:val="right"/>
      </w:pPr>
      <w:r>
        <w:rPr>
          <w:sz w:val="28"/>
        </w:rPr>
        <w:t>附表一</w:t>
      </w:r>
      <w:r>
        <w:rPr>
          <w:sz w:val="28"/>
        </w:rPr>
        <w:t xml:space="preserve"> </w:t>
      </w:r>
    </w:p>
    <w:p w:rsidR="00705CC5" w:rsidRDefault="006C605F" w:rsidP="00705CC5">
      <w:pPr>
        <w:spacing w:after="0"/>
        <w:ind w:left="-142" w:right="0" w:firstLine="142"/>
        <w:jc w:val="center"/>
      </w:pPr>
      <w:r>
        <w:t>中藥用藥安全管理及品質提升作業要點</w:t>
      </w:r>
    </w:p>
    <w:p w:rsidR="00705CC5" w:rsidRDefault="00705CC5" w:rsidP="00705CC5">
      <w:pPr>
        <w:spacing w:after="0"/>
        <w:ind w:left="-142" w:right="0" w:firstLine="142"/>
        <w:jc w:val="center"/>
      </w:pPr>
      <w:r>
        <w:t>申請書</w:t>
      </w:r>
    </w:p>
    <w:p w:rsidR="00705CC5" w:rsidRDefault="00705CC5" w:rsidP="00705CC5">
      <w:pPr>
        <w:ind w:left="-142" w:right="0" w:firstLine="142"/>
        <w:jc w:val="center"/>
      </w:pPr>
      <w:r>
        <w:rPr>
          <w:noProof/>
        </w:rPr>
        <w:drawing>
          <wp:inline distT="0" distB="0" distL="0" distR="0" wp14:anchorId="40E8C72E" wp14:editId="3D2E12B1">
            <wp:extent cx="5953125" cy="8221899"/>
            <wp:effectExtent l="0" t="0" r="0" b="8255"/>
            <wp:docPr id="21549" name="Picture 21549"/>
            <wp:cNvGraphicFramePr/>
            <a:graphic xmlns:a="http://schemas.openxmlformats.org/drawingml/2006/main">
              <a:graphicData uri="http://schemas.openxmlformats.org/drawingml/2006/picture">
                <pic:pic xmlns:pic="http://schemas.openxmlformats.org/drawingml/2006/picture">
                  <pic:nvPicPr>
                    <pic:cNvPr id="21549" name="Picture 21549"/>
                    <pic:cNvPicPr/>
                  </pic:nvPicPr>
                  <pic:blipFill>
                    <a:blip r:embed="rId13"/>
                    <a:stretch>
                      <a:fillRect/>
                    </a:stretch>
                  </pic:blipFill>
                  <pic:spPr>
                    <a:xfrm>
                      <a:off x="0" y="0"/>
                      <a:ext cx="5953125" cy="8221899"/>
                    </a:xfrm>
                    <a:prstGeom prst="rect">
                      <a:avLst/>
                    </a:prstGeom>
                  </pic:spPr>
                </pic:pic>
              </a:graphicData>
            </a:graphic>
          </wp:inline>
        </w:drawing>
      </w:r>
    </w:p>
    <w:p w:rsidR="00BE552E" w:rsidRDefault="00705CC5" w:rsidP="00705CC5">
      <w:pPr>
        <w:ind w:left="4146" w:right="0" w:hanging="4713"/>
      </w:pPr>
      <w:bookmarkStart w:id="0" w:name="_GoBack"/>
      <w:bookmarkEnd w:id="0"/>
      <w:r>
        <w:rPr>
          <w:sz w:val="28"/>
        </w:rPr>
        <w:t>附表二</w:t>
      </w:r>
    </w:p>
    <w:p w:rsidR="00BE552E" w:rsidRDefault="00BE552E" w:rsidP="00705CC5">
      <w:pPr>
        <w:spacing w:after="0" w:line="259" w:lineRule="auto"/>
        <w:ind w:left="11" w:right="318" w:hanging="11"/>
        <w:jc w:val="right"/>
      </w:pPr>
    </w:p>
    <w:p w:rsidR="00BE552E" w:rsidRDefault="006C605F">
      <w:pPr>
        <w:ind w:left="4340" w:right="1050" w:hanging="2240"/>
      </w:pPr>
      <w:r>
        <w:t>中藥用藥安全管理及品質提升作業要點查檢表</w:t>
      </w:r>
      <w:r>
        <w:rPr>
          <w:rFonts w:ascii="Times New Roman" w:eastAsia="Times New Roman" w:hAnsi="Times New Roman" w:cs="Times New Roman"/>
        </w:rPr>
        <w:t xml:space="preserve"> </w:t>
      </w:r>
    </w:p>
    <w:p w:rsidR="00BE552E" w:rsidRDefault="006C605F">
      <w:pPr>
        <w:spacing w:after="22" w:line="265" w:lineRule="auto"/>
        <w:ind w:left="-3" w:right="0"/>
      </w:pPr>
      <w:r>
        <w:rPr>
          <w:sz w:val="28"/>
        </w:rPr>
        <w:t>醫療院所名稱：</w:t>
      </w:r>
      <w:r>
        <w:rPr>
          <w:rFonts w:ascii="Times New Roman" w:eastAsia="Times New Roman" w:hAnsi="Times New Roman" w:cs="Times New Roman"/>
          <w:sz w:val="28"/>
        </w:rPr>
        <w:t xml:space="preserve">                           </w:t>
      </w:r>
      <w:r>
        <w:rPr>
          <w:sz w:val="28"/>
        </w:rPr>
        <w:t>醫療院所代碼：</w:t>
      </w:r>
      <w:r>
        <w:rPr>
          <w:rFonts w:ascii="Times New Roman" w:eastAsia="Times New Roman" w:hAnsi="Times New Roman" w:cs="Times New Roman"/>
          <w:sz w:val="28"/>
        </w:rPr>
        <w:t xml:space="preserve">                 </w:t>
      </w:r>
      <w:r>
        <w:rPr>
          <w:sz w:val="28"/>
        </w:rPr>
        <w:t>地址：</w:t>
      </w:r>
      <w:r>
        <w:rPr>
          <w:rFonts w:ascii="Times New Roman" w:eastAsia="Times New Roman" w:hAnsi="Times New Roman" w:cs="Times New Roman"/>
          <w:sz w:val="28"/>
        </w:rPr>
        <w:t xml:space="preserve">                                   </w:t>
      </w:r>
      <w:r>
        <w:rPr>
          <w:sz w:val="28"/>
        </w:rPr>
        <w:t>電話：</w:t>
      </w:r>
      <w:r>
        <w:rPr>
          <w:rFonts w:ascii="Times New Roman" w:eastAsia="Times New Roman" w:hAnsi="Times New Roman" w:cs="Times New Roman"/>
          <w:sz w:val="28"/>
        </w:rPr>
        <w:t xml:space="preserve">                                                                  </w:t>
      </w:r>
      <w:r>
        <w:rPr>
          <w:sz w:val="28"/>
        </w:rPr>
        <w:t>填表日期：</w:t>
      </w:r>
      <w:r>
        <w:rPr>
          <w:rFonts w:ascii="Times New Roman" w:eastAsia="Times New Roman" w:hAnsi="Times New Roman" w:cs="Times New Roman"/>
          <w:sz w:val="28"/>
        </w:rPr>
        <w:t xml:space="preserve">                    </w:t>
      </w:r>
    </w:p>
    <w:p w:rsidR="00BE552E" w:rsidRDefault="006C605F" w:rsidP="00705CC5">
      <w:pPr>
        <w:spacing w:after="0" w:line="265" w:lineRule="auto"/>
        <w:ind w:left="-3" w:right="0"/>
      </w:pPr>
      <w:r>
        <w:rPr>
          <w:noProof/>
        </w:rPr>
        <w:drawing>
          <wp:inline distT="0" distB="0" distL="0" distR="0">
            <wp:extent cx="6156632" cy="6897757"/>
            <wp:effectExtent l="0" t="0" r="0" b="0"/>
            <wp:docPr id="21551" name="Picture 21551"/>
            <wp:cNvGraphicFramePr/>
            <a:graphic xmlns:a="http://schemas.openxmlformats.org/drawingml/2006/main">
              <a:graphicData uri="http://schemas.openxmlformats.org/drawingml/2006/picture">
                <pic:pic xmlns:pic="http://schemas.openxmlformats.org/drawingml/2006/picture">
                  <pic:nvPicPr>
                    <pic:cNvPr id="21551" name="Picture 21551"/>
                    <pic:cNvPicPr/>
                  </pic:nvPicPr>
                  <pic:blipFill>
                    <a:blip r:embed="rId14"/>
                    <a:stretch>
                      <a:fillRect/>
                    </a:stretch>
                  </pic:blipFill>
                  <pic:spPr>
                    <a:xfrm>
                      <a:off x="0" y="0"/>
                      <a:ext cx="6158574" cy="6899933"/>
                    </a:xfrm>
                    <a:prstGeom prst="rect">
                      <a:avLst/>
                    </a:prstGeom>
                  </pic:spPr>
                </pic:pic>
              </a:graphicData>
            </a:graphic>
          </wp:inline>
        </w:drawing>
      </w:r>
      <w:r>
        <w:rPr>
          <w:sz w:val="28"/>
        </w:rPr>
        <w:t>註：請將本表併同本要點之附表一郵寄至中華民國中醫師公會全國聯合會</w:t>
      </w:r>
    </w:p>
    <w:p w:rsidR="00BE552E" w:rsidRDefault="006C605F" w:rsidP="00705CC5">
      <w:pPr>
        <w:spacing w:after="0" w:line="265" w:lineRule="auto"/>
        <w:ind w:left="610" w:right="0"/>
      </w:pPr>
      <w:r>
        <w:rPr>
          <w:sz w:val="28"/>
        </w:rPr>
        <w:t>(22069</w:t>
      </w:r>
      <w:r>
        <w:rPr>
          <w:sz w:val="28"/>
        </w:rPr>
        <w:t>新北市板橋區民生路一段</w:t>
      </w:r>
      <w:r>
        <w:rPr>
          <w:sz w:val="28"/>
        </w:rPr>
        <w:t>33</w:t>
      </w:r>
      <w:r>
        <w:rPr>
          <w:sz w:val="28"/>
        </w:rPr>
        <w:t>號</w:t>
      </w:r>
      <w:r>
        <w:rPr>
          <w:sz w:val="28"/>
        </w:rPr>
        <w:t>11</w:t>
      </w:r>
      <w:r>
        <w:rPr>
          <w:sz w:val="28"/>
        </w:rPr>
        <w:t>樓之</w:t>
      </w:r>
      <w:r>
        <w:rPr>
          <w:sz w:val="28"/>
        </w:rPr>
        <w:t>2)</w:t>
      </w:r>
      <w:r>
        <w:rPr>
          <w:sz w:val="28"/>
        </w:rPr>
        <w:t>審查。</w:t>
      </w:r>
      <w:r>
        <w:t xml:space="preserve"> </w:t>
      </w:r>
      <w:r>
        <w:rPr>
          <w:sz w:val="34"/>
        </w:rPr>
        <w:t xml:space="preserve"> </w:t>
      </w:r>
    </w:p>
    <w:p w:rsidR="00BE552E" w:rsidRDefault="006C605F">
      <w:pPr>
        <w:spacing w:after="130" w:line="259" w:lineRule="auto"/>
        <w:ind w:left="19" w:right="0"/>
        <w:jc w:val="center"/>
      </w:pPr>
      <w:r>
        <w:rPr>
          <w:sz w:val="20"/>
        </w:rPr>
        <w:t xml:space="preserve">12 </w:t>
      </w:r>
    </w:p>
    <w:sectPr w:rsidR="00BE552E" w:rsidSect="00705CC5">
      <w:footerReference w:type="even" r:id="rId15"/>
      <w:footerReference w:type="default" r:id="rId16"/>
      <w:footerReference w:type="first" r:id="rId17"/>
      <w:pgSz w:w="11906" w:h="16838"/>
      <w:pgMar w:top="993" w:right="1143"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5F" w:rsidRDefault="006C605F">
      <w:pPr>
        <w:spacing w:after="0" w:line="240" w:lineRule="auto"/>
      </w:pPr>
      <w:r>
        <w:separator/>
      </w:r>
    </w:p>
  </w:endnote>
  <w:endnote w:type="continuationSeparator" w:id="0">
    <w:p w:rsidR="006C605F" w:rsidRDefault="006C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6C605F">
    <w:pPr>
      <w:spacing w:after="0" w:line="259" w:lineRule="auto"/>
      <w:ind w:left="0" w:right="28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6C605F">
    <w:pPr>
      <w:spacing w:after="0" w:line="259" w:lineRule="auto"/>
      <w:ind w:left="0" w:right="289" w:firstLine="0"/>
      <w:jc w:val="center"/>
    </w:pPr>
    <w:r>
      <w:fldChar w:fldCharType="begin"/>
    </w:r>
    <w:r>
      <w:instrText xml:space="preserve"> PAGE   \* MERGEFORMAT </w:instrText>
    </w:r>
    <w:r>
      <w:fldChar w:fldCharType="separate"/>
    </w:r>
    <w:r w:rsidRPr="006C605F">
      <w:rPr>
        <w:noProof/>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6C605F">
    <w:pPr>
      <w:spacing w:after="0" w:line="259" w:lineRule="auto"/>
      <w:ind w:left="0" w:right="28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6C605F">
    <w:pPr>
      <w:spacing w:after="0" w:line="259" w:lineRule="auto"/>
      <w:ind w:left="0" w:right="1097" w:firstLine="0"/>
      <w:jc w:val="center"/>
    </w:pPr>
    <w:r>
      <w:fldChar w:fldCharType="begin"/>
    </w:r>
    <w:r>
      <w:instrText xml:space="preserve"> PAGE   \* MERGEFORMAT </w:instrText>
    </w:r>
    <w:r>
      <w:fldChar w:fldCharType="separate"/>
    </w:r>
    <w:r>
      <w:rPr>
        <w:sz w:val="20"/>
      </w:rPr>
      <w:t>5</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6C605F">
    <w:pPr>
      <w:spacing w:after="0" w:line="259" w:lineRule="auto"/>
      <w:ind w:left="0" w:right="1097" w:firstLine="0"/>
      <w:jc w:val="center"/>
    </w:pPr>
    <w:r>
      <w:fldChar w:fldCharType="begin"/>
    </w:r>
    <w:r>
      <w:instrText xml:space="preserve"> PAGE   \* MERGEFORMAT </w:instrText>
    </w:r>
    <w:r>
      <w:fldChar w:fldCharType="separate"/>
    </w:r>
    <w:r w:rsidR="00705CC5" w:rsidRPr="00705CC5">
      <w:rPr>
        <w:noProof/>
        <w:sz w:val="20"/>
      </w:rPr>
      <w:t>5</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6C605F">
    <w:pPr>
      <w:spacing w:after="0" w:line="259" w:lineRule="auto"/>
      <w:ind w:left="0" w:right="1097" w:firstLine="0"/>
      <w:jc w:val="center"/>
    </w:pPr>
    <w:r>
      <w:fldChar w:fldCharType="begin"/>
    </w:r>
    <w:r>
      <w:instrText xml:space="preserve"> PAGE   \* MERGEFORMAT </w:instrText>
    </w:r>
    <w:r>
      <w:fldChar w:fldCharType="separate"/>
    </w:r>
    <w:r>
      <w:rPr>
        <w:sz w:val="20"/>
      </w:rPr>
      <w:t>5</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BE552E">
    <w:pPr>
      <w:spacing w:after="160" w:line="259" w:lineRule="auto"/>
      <w:ind w:left="0" w:right="0" w:firstLine="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BE552E">
    <w:pPr>
      <w:spacing w:after="160" w:line="259" w:lineRule="auto"/>
      <w:ind w:left="0" w:right="0" w:firstLine="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2E" w:rsidRDefault="00BE552E">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5F" w:rsidRDefault="006C605F">
      <w:pPr>
        <w:spacing w:after="0" w:line="240" w:lineRule="auto"/>
      </w:pPr>
      <w:r>
        <w:separator/>
      </w:r>
    </w:p>
  </w:footnote>
  <w:footnote w:type="continuationSeparator" w:id="0">
    <w:p w:rsidR="006C605F" w:rsidRDefault="006C6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23F"/>
    <w:multiLevelType w:val="hybridMultilevel"/>
    <w:tmpl w:val="A3EC2A44"/>
    <w:lvl w:ilvl="0" w:tplc="F3CA2114">
      <w:start w:val="1"/>
      <w:numFmt w:val="decimal"/>
      <w:lvlText w:val="%1."/>
      <w:lvlJc w:val="left"/>
      <w:pPr>
        <w:ind w:left="40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7604EFEE">
      <w:start w:val="1"/>
      <w:numFmt w:val="lowerLetter"/>
      <w:lvlText w:val="%2"/>
      <w:lvlJc w:val="left"/>
      <w:pPr>
        <w:ind w:left="109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37FC50EA">
      <w:start w:val="1"/>
      <w:numFmt w:val="lowerRoman"/>
      <w:lvlText w:val="%3"/>
      <w:lvlJc w:val="left"/>
      <w:pPr>
        <w:ind w:left="181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8A460BC8">
      <w:start w:val="1"/>
      <w:numFmt w:val="decimal"/>
      <w:lvlText w:val="%4"/>
      <w:lvlJc w:val="left"/>
      <w:pPr>
        <w:ind w:left="253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654EE81E">
      <w:start w:val="1"/>
      <w:numFmt w:val="lowerLetter"/>
      <w:lvlText w:val="%5"/>
      <w:lvlJc w:val="left"/>
      <w:pPr>
        <w:ind w:left="325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7772E6C4">
      <w:start w:val="1"/>
      <w:numFmt w:val="lowerRoman"/>
      <w:lvlText w:val="%6"/>
      <w:lvlJc w:val="left"/>
      <w:pPr>
        <w:ind w:left="397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86E2F108">
      <w:start w:val="1"/>
      <w:numFmt w:val="decimal"/>
      <w:lvlText w:val="%7"/>
      <w:lvlJc w:val="left"/>
      <w:pPr>
        <w:ind w:left="469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4E20A590">
      <w:start w:val="1"/>
      <w:numFmt w:val="lowerLetter"/>
      <w:lvlText w:val="%8"/>
      <w:lvlJc w:val="left"/>
      <w:pPr>
        <w:ind w:left="541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0714D8DE">
      <w:start w:val="1"/>
      <w:numFmt w:val="lowerRoman"/>
      <w:lvlText w:val="%9"/>
      <w:lvlJc w:val="left"/>
      <w:pPr>
        <w:ind w:left="613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E4B042A"/>
    <w:multiLevelType w:val="hybridMultilevel"/>
    <w:tmpl w:val="C37887CE"/>
    <w:lvl w:ilvl="0" w:tplc="5A58467E">
      <w:start w:val="1"/>
      <w:numFmt w:val="ideographDigital"/>
      <w:lvlText w:val="%1、"/>
      <w:lvlJc w:val="left"/>
      <w:pPr>
        <w:ind w:left="94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CB1C82A6">
      <w:start w:val="1"/>
      <w:numFmt w:val="lowerLetter"/>
      <w:lvlText w:val="%2"/>
      <w:lvlJc w:val="left"/>
      <w:pPr>
        <w:ind w:left="147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BCB4FCC8">
      <w:start w:val="1"/>
      <w:numFmt w:val="lowerRoman"/>
      <w:lvlText w:val="%3"/>
      <w:lvlJc w:val="left"/>
      <w:pPr>
        <w:ind w:left="219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20F81884">
      <w:start w:val="1"/>
      <w:numFmt w:val="decimal"/>
      <w:lvlText w:val="%4"/>
      <w:lvlJc w:val="left"/>
      <w:pPr>
        <w:ind w:left="291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025AAFC4">
      <w:start w:val="1"/>
      <w:numFmt w:val="lowerLetter"/>
      <w:lvlText w:val="%5"/>
      <w:lvlJc w:val="left"/>
      <w:pPr>
        <w:ind w:left="363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A7BA21AE">
      <w:start w:val="1"/>
      <w:numFmt w:val="lowerRoman"/>
      <w:lvlText w:val="%6"/>
      <w:lvlJc w:val="left"/>
      <w:pPr>
        <w:ind w:left="435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88CEBAF0">
      <w:start w:val="1"/>
      <w:numFmt w:val="decimal"/>
      <w:lvlText w:val="%7"/>
      <w:lvlJc w:val="left"/>
      <w:pPr>
        <w:ind w:left="507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FA80C8E4">
      <w:start w:val="1"/>
      <w:numFmt w:val="lowerLetter"/>
      <w:lvlText w:val="%8"/>
      <w:lvlJc w:val="left"/>
      <w:pPr>
        <w:ind w:left="579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6916F898">
      <w:start w:val="1"/>
      <w:numFmt w:val="lowerRoman"/>
      <w:lvlText w:val="%9"/>
      <w:lvlJc w:val="left"/>
      <w:pPr>
        <w:ind w:left="651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0217B9D"/>
    <w:multiLevelType w:val="hybridMultilevel"/>
    <w:tmpl w:val="11704822"/>
    <w:lvl w:ilvl="0" w:tplc="CADA9418">
      <w:start w:val="3"/>
      <w:numFmt w:val="ideographDigital"/>
      <w:lvlText w:val="%1、"/>
      <w:lvlJc w:val="left"/>
      <w:pPr>
        <w:ind w:left="95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CBCE275A">
      <w:start w:val="1"/>
      <w:numFmt w:val="lowerLetter"/>
      <w:lvlText w:val="%2"/>
      <w:lvlJc w:val="left"/>
      <w:pPr>
        <w:ind w:left="139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26CCAAD2">
      <w:start w:val="1"/>
      <w:numFmt w:val="lowerRoman"/>
      <w:lvlText w:val="%3"/>
      <w:lvlJc w:val="left"/>
      <w:pPr>
        <w:ind w:left="211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AF980492">
      <w:start w:val="1"/>
      <w:numFmt w:val="decimal"/>
      <w:lvlText w:val="%4"/>
      <w:lvlJc w:val="left"/>
      <w:pPr>
        <w:ind w:left="283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CA1661A2">
      <w:start w:val="1"/>
      <w:numFmt w:val="lowerLetter"/>
      <w:lvlText w:val="%5"/>
      <w:lvlJc w:val="left"/>
      <w:pPr>
        <w:ind w:left="355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1F2E7D04">
      <w:start w:val="1"/>
      <w:numFmt w:val="lowerRoman"/>
      <w:lvlText w:val="%6"/>
      <w:lvlJc w:val="left"/>
      <w:pPr>
        <w:ind w:left="427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A6FCB162">
      <w:start w:val="1"/>
      <w:numFmt w:val="decimal"/>
      <w:lvlText w:val="%7"/>
      <w:lvlJc w:val="left"/>
      <w:pPr>
        <w:ind w:left="499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95B26E6C">
      <w:start w:val="1"/>
      <w:numFmt w:val="lowerLetter"/>
      <w:lvlText w:val="%8"/>
      <w:lvlJc w:val="left"/>
      <w:pPr>
        <w:ind w:left="571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9E9A0B14">
      <w:start w:val="1"/>
      <w:numFmt w:val="lowerRoman"/>
      <w:lvlText w:val="%9"/>
      <w:lvlJc w:val="left"/>
      <w:pPr>
        <w:ind w:left="643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C644C6B"/>
    <w:multiLevelType w:val="hybridMultilevel"/>
    <w:tmpl w:val="C8BE9BC4"/>
    <w:lvl w:ilvl="0" w:tplc="222C3B5C">
      <w:start w:val="1"/>
      <w:numFmt w:val="ideographDigital"/>
      <w:lvlText w:val="%1、"/>
      <w:lvlJc w:val="left"/>
      <w:pPr>
        <w:ind w:left="941"/>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A9C476F0">
      <w:start w:val="1"/>
      <w:numFmt w:val="lowerLetter"/>
      <w:lvlText w:val="%2"/>
      <w:lvlJc w:val="left"/>
      <w:pPr>
        <w:ind w:left="13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5EA68DAC">
      <w:start w:val="1"/>
      <w:numFmt w:val="lowerRoman"/>
      <w:lvlText w:val="%3"/>
      <w:lvlJc w:val="left"/>
      <w:pPr>
        <w:ind w:left="210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68945518">
      <w:start w:val="1"/>
      <w:numFmt w:val="decimal"/>
      <w:lvlText w:val="%4"/>
      <w:lvlJc w:val="left"/>
      <w:pPr>
        <w:ind w:left="282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0548E384">
      <w:start w:val="1"/>
      <w:numFmt w:val="lowerLetter"/>
      <w:lvlText w:val="%5"/>
      <w:lvlJc w:val="left"/>
      <w:pPr>
        <w:ind w:left="354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D7F683C2">
      <w:start w:val="1"/>
      <w:numFmt w:val="lowerRoman"/>
      <w:lvlText w:val="%6"/>
      <w:lvlJc w:val="left"/>
      <w:pPr>
        <w:ind w:left="426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3A5C41DC">
      <w:start w:val="1"/>
      <w:numFmt w:val="decimal"/>
      <w:lvlText w:val="%7"/>
      <w:lvlJc w:val="left"/>
      <w:pPr>
        <w:ind w:left="49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017C50C8">
      <w:start w:val="1"/>
      <w:numFmt w:val="lowerLetter"/>
      <w:lvlText w:val="%8"/>
      <w:lvlJc w:val="left"/>
      <w:pPr>
        <w:ind w:left="570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7B027D12">
      <w:start w:val="1"/>
      <w:numFmt w:val="lowerRoman"/>
      <w:lvlText w:val="%9"/>
      <w:lvlJc w:val="left"/>
      <w:pPr>
        <w:ind w:left="642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3984047"/>
    <w:multiLevelType w:val="hybridMultilevel"/>
    <w:tmpl w:val="589A742C"/>
    <w:lvl w:ilvl="0" w:tplc="44C46760">
      <w:start w:val="1"/>
      <w:numFmt w:val="ideographDigital"/>
      <w:lvlText w:val="%1、"/>
      <w:lvlJc w:val="left"/>
      <w:pPr>
        <w:ind w:left="1133"/>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28A48F98">
      <w:start w:val="1"/>
      <w:numFmt w:val="lowerLetter"/>
      <w:lvlText w:val="%2"/>
      <w:lvlJc w:val="left"/>
      <w:pPr>
        <w:ind w:left="150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20325F9E">
      <w:start w:val="1"/>
      <w:numFmt w:val="lowerRoman"/>
      <w:lvlText w:val="%3"/>
      <w:lvlJc w:val="left"/>
      <w:pPr>
        <w:ind w:left="222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9CD2C560">
      <w:start w:val="1"/>
      <w:numFmt w:val="decimal"/>
      <w:lvlText w:val="%4"/>
      <w:lvlJc w:val="left"/>
      <w:pPr>
        <w:ind w:left="294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925C5EAA">
      <w:start w:val="1"/>
      <w:numFmt w:val="lowerLetter"/>
      <w:lvlText w:val="%5"/>
      <w:lvlJc w:val="left"/>
      <w:pPr>
        <w:ind w:left="366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F664F8AE">
      <w:start w:val="1"/>
      <w:numFmt w:val="lowerRoman"/>
      <w:lvlText w:val="%6"/>
      <w:lvlJc w:val="left"/>
      <w:pPr>
        <w:ind w:left="438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E580E8B2">
      <w:start w:val="1"/>
      <w:numFmt w:val="decimal"/>
      <w:lvlText w:val="%7"/>
      <w:lvlJc w:val="left"/>
      <w:pPr>
        <w:ind w:left="510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BCC2EC3E">
      <w:start w:val="1"/>
      <w:numFmt w:val="lowerLetter"/>
      <w:lvlText w:val="%8"/>
      <w:lvlJc w:val="left"/>
      <w:pPr>
        <w:ind w:left="582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86C6E0AE">
      <w:start w:val="1"/>
      <w:numFmt w:val="lowerRoman"/>
      <w:lvlText w:val="%9"/>
      <w:lvlJc w:val="left"/>
      <w:pPr>
        <w:ind w:left="654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0EB69A4"/>
    <w:multiLevelType w:val="hybridMultilevel"/>
    <w:tmpl w:val="06DC6CD8"/>
    <w:lvl w:ilvl="0" w:tplc="FEF6A648">
      <w:start w:val="1"/>
      <w:numFmt w:val="decimal"/>
      <w:lvlText w:val="%1."/>
      <w:lvlJc w:val="left"/>
      <w:pPr>
        <w:ind w:left="36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9EC8E682">
      <w:start w:val="1"/>
      <w:numFmt w:val="lowerLetter"/>
      <w:lvlText w:val="%2"/>
      <w:lvlJc w:val="left"/>
      <w:pPr>
        <w:ind w:left="109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C0FACD4C">
      <w:start w:val="1"/>
      <w:numFmt w:val="lowerRoman"/>
      <w:lvlText w:val="%3"/>
      <w:lvlJc w:val="left"/>
      <w:pPr>
        <w:ind w:left="181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637ABBD2">
      <w:start w:val="1"/>
      <w:numFmt w:val="decimal"/>
      <w:lvlText w:val="%4"/>
      <w:lvlJc w:val="left"/>
      <w:pPr>
        <w:ind w:left="253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023E4628">
      <w:start w:val="1"/>
      <w:numFmt w:val="lowerLetter"/>
      <w:lvlText w:val="%5"/>
      <w:lvlJc w:val="left"/>
      <w:pPr>
        <w:ind w:left="325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E43673B0">
      <w:start w:val="1"/>
      <w:numFmt w:val="lowerRoman"/>
      <w:lvlText w:val="%6"/>
      <w:lvlJc w:val="left"/>
      <w:pPr>
        <w:ind w:left="397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A4B2E3C4">
      <w:start w:val="1"/>
      <w:numFmt w:val="decimal"/>
      <w:lvlText w:val="%7"/>
      <w:lvlJc w:val="left"/>
      <w:pPr>
        <w:ind w:left="469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85A69AEA">
      <w:start w:val="1"/>
      <w:numFmt w:val="lowerLetter"/>
      <w:lvlText w:val="%8"/>
      <w:lvlJc w:val="left"/>
      <w:pPr>
        <w:ind w:left="541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9C76FBA6">
      <w:start w:val="1"/>
      <w:numFmt w:val="lowerRoman"/>
      <w:lvlText w:val="%9"/>
      <w:lvlJc w:val="left"/>
      <w:pPr>
        <w:ind w:left="6139"/>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39CE435A"/>
    <w:multiLevelType w:val="hybridMultilevel"/>
    <w:tmpl w:val="4944349A"/>
    <w:lvl w:ilvl="0" w:tplc="6730F920">
      <w:start w:val="1"/>
      <w:numFmt w:val="ideographDigital"/>
      <w:lvlText w:val="%1、"/>
      <w:lvlJc w:val="left"/>
      <w:pPr>
        <w:ind w:left="5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E5324052">
      <w:start w:val="1"/>
      <w:numFmt w:val="lowerLetter"/>
      <w:lvlText w:val="%2"/>
      <w:lvlJc w:val="left"/>
      <w:pPr>
        <w:ind w:left="10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DBF2563C">
      <w:start w:val="1"/>
      <w:numFmt w:val="lowerRoman"/>
      <w:lvlText w:val="%3"/>
      <w:lvlJc w:val="left"/>
      <w:pPr>
        <w:ind w:left="18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B14E85DA">
      <w:start w:val="1"/>
      <w:numFmt w:val="decimal"/>
      <w:lvlText w:val="%4"/>
      <w:lvlJc w:val="left"/>
      <w:pPr>
        <w:ind w:left="25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85360622">
      <w:start w:val="1"/>
      <w:numFmt w:val="lowerLetter"/>
      <w:lvlText w:val="%5"/>
      <w:lvlJc w:val="left"/>
      <w:pPr>
        <w:ind w:left="32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A68028E4">
      <w:start w:val="1"/>
      <w:numFmt w:val="lowerRoman"/>
      <w:lvlText w:val="%6"/>
      <w:lvlJc w:val="left"/>
      <w:pPr>
        <w:ind w:left="39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1A6AD124">
      <w:start w:val="1"/>
      <w:numFmt w:val="decimal"/>
      <w:lvlText w:val="%7"/>
      <w:lvlJc w:val="left"/>
      <w:pPr>
        <w:ind w:left="46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D0D04D32">
      <w:start w:val="1"/>
      <w:numFmt w:val="lowerLetter"/>
      <w:lvlText w:val="%8"/>
      <w:lvlJc w:val="left"/>
      <w:pPr>
        <w:ind w:left="54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01AEB5DE">
      <w:start w:val="1"/>
      <w:numFmt w:val="lowerRoman"/>
      <w:lvlText w:val="%9"/>
      <w:lvlJc w:val="left"/>
      <w:pPr>
        <w:ind w:left="61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AF877A3"/>
    <w:multiLevelType w:val="hybridMultilevel"/>
    <w:tmpl w:val="01DCBBB0"/>
    <w:lvl w:ilvl="0" w:tplc="07F0ED7A">
      <w:start w:val="1"/>
      <w:numFmt w:val="decimal"/>
      <w:lvlText w:val="%1."/>
      <w:lvlJc w:val="left"/>
      <w:pPr>
        <w:ind w:left="36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F9F60A80">
      <w:start w:val="1"/>
      <w:numFmt w:val="decimal"/>
      <w:lvlText w:val="(%2)"/>
      <w:lvlJc w:val="left"/>
      <w:pPr>
        <w:ind w:left="1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D007F94">
      <w:start w:val="1"/>
      <w:numFmt w:val="lowerRoman"/>
      <w:lvlText w:val="%3"/>
      <w:lvlJc w:val="left"/>
      <w:pPr>
        <w:ind w:left="1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276A6AC">
      <w:start w:val="1"/>
      <w:numFmt w:val="decimal"/>
      <w:lvlText w:val="%4"/>
      <w:lvlJc w:val="left"/>
      <w:pPr>
        <w:ind w:left="22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C5E8DBE">
      <w:start w:val="1"/>
      <w:numFmt w:val="lowerLetter"/>
      <w:lvlText w:val="%5"/>
      <w:lvlJc w:val="left"/>
      <w:pPr>
        <w:ind w:left="29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0F0D294">
      <w:start w:val="1"/>
      <w:numFmt w:val="lowerRoman"/>
      <w:lvlText w:val="%6"/>
      <w:lvlJc w:val="left"/>
      <w:pPr>
        <w:ind w:left="36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8528AAA">
      <w:start w:val="1"/>
      <w:numFmt w:val="decimal"/>
      <w:lvlText w:val="%7"/>
      <w:lvlJc w:val="left"/>
      <w:pPr>
        <w:ind w:left="43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88CD63E">
      <w:start w:val="1"/>
      <w:numFmt w:val="lowerLetter"/>
      <w:lvlText w:val="%8"/>
      <w:lvlJc w:val="left"/>
      <w:pPr>
        <w:ind w:left="50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6388958">
      <w:start w:val="1"/>
      <w:numFmt w:val="lowerRoman"/>
      <w:lvlText w:val="%9"/>
      <w:lvlJc w:val="left"/>
      <w:pPr>
        <w:ind w:left="58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03317B"/>
    <w:multiLevelType w:val="hybridMultilevel"/>
    <w:tmpl w:val="DCB6DCD8"/>
    <w:lvl w:ilvl="0" w:tplc="CFA69A04">
      <w:start w:val="1"/>
      <w:numFmt w:val="ideographDigital"/>
      <w:lvlText w:val="%1、"/>
      <w:lvlJc w:val="left"/>
      <w:pPr>
        <w:ind w:left="953"/>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lang w:val="en-US"/>
      </w:rPr>
    </w:lvl>
    <w:lvl w:ilvl="1" w:tplc="5BEAAFE4">
      <w:start w:val="1"/>
      <w:numFmt w:val="lowerLetter"/>
      <w:lvlText w:val="%2"/>
      <w:lvlJc w:val="left"/>
      <w:pPr>
        <w:ind w:left="142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6F104B54">
      <w:start w:val="1"/>
      <w:numFmt w:val="lowerRoman"/>
      <w:lvlText w:val="%3"/>
      <w:lvlJc w:val="left"/>
      <w:pPr>
        <w:ind w:left="214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6B423F1A">
      <w:start w:val="1"/>
      <w:numFmt w:val="decimal"/>
      <w:lvlText w:val="%4"/>
      <w:lvlJc w:val="left"/>
      <w:pPr>
        <w:ind w:left="286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13DEB150">
      <w:start w:val="1"/>
      <w:numFmt w:val="lowerLetter"/>
      <w:lvlText w:val="%5"/>
      <w:lvlJc w:val="left"/>
      <w:pPr>
        <w:ind w:left="358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DCBCD430">
      <w:start w:val="1"/>
      <w:numFmt w:val="lowerRoman"/>
      <w:lvlText w:val="%6"/>
      <w:lvlJc w:val="left"/>
      <w:pPr>
        <w:ind w:left="430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EADA5C74">
      <w:start w:val="1"/>
      <w:numFmt w:val="decimal"/>
      <w:lvlText w:val="%7"/>
      <w:lvlJc w:val="left"/>
      <w:pPr>
        <w:ind w:left="502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56265894">
      <w:start w:val="1"/>
      <w:numFmt w:val="lowerLetter"/>
      <w:lvlText w:val="%8"/>
      <w:lvlJc w:val="left"/>
      <w:pPr>
        <w:ind w:left="574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8CD07D6C">
      <w:start w:val="1"/>
      <w:numFmt w:val="lowerRoman"/>
      <w:lvlText w:val="%9"/>
      <w:lvlJc w:val="left"/>
      <w:pPr>
        <w:ind w:left="646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69E07F3F"/>
    <w:multiLevelType w:val="hybridMultilevel"/>
    <w:tmpl w:val="E750989A"/>
    <w:lvl w:ilvl="0" w:tplc="BD76D8FC">
      <w:start w:val="1"/>
      <w:numFmt w:val="decimal"/>
      <w:lvlText w:val="%1."/>
      <w:lvlJc w:val="left"/>
      <w:pPr>
        <w:ind w:left="3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F66E6F7A">
      <w:start w:val="1"/>
      <w:numFmt w:val="lowerLetter"/>
      <w:lvlText w:val="%2"/>
      <w:lvlJc w:val="left"/>
      <w:pPr>
        <w:ind w:left="109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2D821A80">
      <w:start w:val="1"/>
      <w:numFmt w:val="lowerRoman"/>
      <w:lvlText w:val="%3"/>
      <w:lvlJc w:val="left"/>
      <w:pPr>
        <w:ind w:left="181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0BB479E6">
      <w:start w:val="1"/>
      <w:numFmt w:val="decimal"/>
      <w:lvlText w:val="%4"/>
      <w:lvlJc w:val="left"/>
      <w:pPr>
        <w:ind w:left="253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E20C698E">
      <w:start w:val="1"/>
      <w:numFmt w:val="lowerLetter"/>
      <w:lvlText w:val="%5"/>
      <w:lvlJc w:val="left"/>
      <w:pPr>
        <w:ind w:left="325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0E485ECE">
      <w:start w:val="1"/>
      <w:numFmt w:val="lowerRoman"/>
      <w:lvlText w:val="%6"/>
      <w:lvlJc w:val="left"/>
      <w:pPr>
        <w:ind w:left="397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66ECD426">
      <w:start w:val="1"/>
      <w:numFmt w:val="decimal"/>
      <w:lvlText w:val="%7"/>
      <w:lvlJc w:val="left"/>
      <w:pPr>
        <w:ind w:left="469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2F36B256">
      <w:start w:val="1"/>
      <w:numFmt w:val="lowerLetter"/>
      <w:lvlText w:val="%8"/>
      <w:lvlJc w:val="left"/>
      <w:pPr>
        <w:ind w:left="541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02CCC272">
      <w:start w:val="1"/>
      <w:numFmt w:val="lowerRoman"/>
      <w:lvlText w:val="%9"/>
      <w:lvlJc w:val="left"/>
      <w:pPr>
        <w:ind w:left="613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8"/>
  </w:num>
  <w:num w:numId="3">
    <w:abstractNumId w:val="2"/>
  </w:num>
  <w:num w:numId="4">
    <w:abstractNumId w:val="4"/>
  </w:num>
  <w:num w:numId="5">
    <w:abstractNumId w:val="1"/>
  </w:num>
  <w:num w:numId="6">
    <w:abstractNumId w:val="6"/>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2E"/>
    <w:rsid w:val="0006461C"/>
    <w:rsid w:val="006C605F"/>
    <w:rsid w:val="00705CC5"/>
    <w:rsid w:val="00BE552E"/>
    <w:rsid w:val="00D65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DF414"/>
  <w15:docId w15:val="{6FC2AEF1-44CD-4615-8E79-DDBC9C07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9" w:lineRule="auto"/>
      <w:ind w:left="10" w:right="293" w:hanging="1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6461C"/>
    <w:pPr>
      <w:tabs>
        <w:tab w:val="center" w:pos="4153"/>
        <w:tab w:val="right" w:pos="8306"/>
      </w:tabs>
      <w:snapToGrid w:val="0"/>
    </w:pPr>
    <w:rPr>
      <w:sz w:val="20"/>
      <w:szCs w:val="20"/>
    </w:rPr>
  </w:style>
  <w:style w:type="character" w:customStyle="1" w:styleId="a4">
    <w:name w:val="頁首 字元"/>
    <w:basedOn w:val="a0"/>
    <w:link w:val="a3"/>
    <w:uiPriority w:val="99"/>
    <w:rsid w:val="0006461C"/>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邵子川</dc:creator>
  <cp:keywords/>
  <cp:lastModifiedBy>owner</cp:lastModifiedBy>
  <cp:revision>2</cp:revision>
  <dcterms:created xsi:type="dcterms:W3CDTF">2026-04-20T04:48:00Z</dcterms:created>
  <dcterms:modified xsi:type="dcterms:W3CDTF">2026-04-20T04:48:00Z</dcterms:modified>
</cp:coreProperties>
</file>